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E149E2" w:rsidRDefault="00E149E2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P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Cs/>
          <w:sz w:val="40"/>
          <w:szCs w:val="40"/>
          <w:lang w:val="cs-CZ"/>
        </w:rPr>
      </w:pPr>
    </w:p>
    <w:p w:rsidR="007F1339" w:rsidRDefault="007F1339" w:rsidP="007F1339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sz w:val="40"/>
          <w:szCs w:val="40"/>
          <w:lang w:val="cs-CZ"/>
        </w:rPr>
      </w:pPr>
    </w:p>
    <w:p w:rsidR="007F1339" w:rsidRPr="007F1339" w:rsidRDefault="00C15E65" w:rsidP="00C15E6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sz w:val="40"/>
          <w:szCs w:val="40"/>
          <w:lang w:val="cs-CZ"/>
        </w:rPr>
      </w:pPr>
      <w:r>
        <w:rPr>
          <w:rFonts w:cstheme="minorHAnsi"/>
          <w:b/>
          <w:bCs/>
          <w:sz w:val="40"/>
          <w:szCs w:val="40"/>
          <w:lang w:val="cs-CZ"/>
        </w:rPr>
        <w:t>METODIKA</w:t>
      </w:r>
      <w:r w:rsidR="00856291">
        <w:rPr>
          <w:rFonts w:cstheme="minorHAnsi"/>
          <w:b/>
          <w:bCs/>
          <w:sz w:val="40"/>
          <w:szCs w:val="40"/>
          <w:lang w:val="cs-CZ"/>
        </w:rPr>
        <w:t xml:space="preserve"> </w:t>
      </w:r>
      <w:r w:rsidR="007F1339" w:rsidRPr="007F1339">
        <w:rPr>
          <w:rFonts w:cstheme="minorHAnsi"/>
          <w:b/>
          <w:bCs/>
          <w:sz w:val="40"/>
          <w:szCs w:val="40"/>
          <w:lang w:val="cs-CZ"/>
        </w:rPr>
        <w:t>HO</w:t>
      </w:r>
      <w:r w:rsidR="00882EA0">
        <w:rPr>
          <w:rFonts w:cstheme="minorHAnsi"/>
          <w:b/>
          <w:bCs/>
          <w:sz w:val="40"/>
          <w:szCs w:val="40"/>
          <w:lang w:val="cs-CZ"/>
        </w:rPr>
        <w:t>DNOCENÍ VÝZKUMNÝCH ORGANIZACÍ V </w:t>
      </w:r>
      <w:r w:rsidR="007F1339" w:rsidRPr="007F1339">
        <w:rPr>
          <w:rFonts w:cstheme="minorHAnsi"/>
          <w:b/>
          <w:bCs/>
          <w:sz w:val="40"/>
          <w:szCs w:val="40"/>
          <w:lang w:val="cs-CZ"/>
        </w:rPr>
        <w:t xml:space="preserve">SEGMENTU VYSOKÝCH ŠKOL </w:t>
      </w: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882EA0" w:rsidRDefault="00882EA0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882EA0" w:rsidRDefault="00882EA0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882EA0" w:rsidRDefault="00882EA0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882EA0" w:rsidRDefault="00882EA0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856291" w:rsidRDefault="00856291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7F1339" w:rsidRPr="0088375D" w:rsidRDefault="007F1339" w:rsidP="0088375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en-GB" w:eastAsia="en-US"/>
        </w:rPr>
        <w:id w:val="-1138953402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:rsidR="004302E7" w:rsidRDefault="00667586" w:rsidP="004302E7">
          <w:pPr>
            <w:pStyle w:val="Nadpisobsahu"/>
            <w:rPr>
              <w:b/>
              <w:color w:val="000000" w:themeColor="text1"/>
            </w:rPr>
          </w:pPr>
          <w:r w:rsidRPr="00125F6F">
            <w:rPr>
              <w:b/>
              <w:color w:val="000000" w:themeColor="text1"/>
            </w:rPr>
            <w:t>OBSAH</w:t>
          </w:r>
        </w:p>
        <w:p w:rsidR="004302E7" w:rsidRPr="004302E7" w:rsidRDefault="004302E7" w:rsidP="004302E7">
          <w:pPr>
            <w:rPr>
              <w:lang w:val="cs-CZ" w:eastAsia="cs-CZ"/>
            </w:rPr>
          </w:pPr>
        </w:p>
        <w:p w:rsidR="002B2871" w:rsidRPr="002B2871" w:rsidRDefault="00115498">
          <w:pPr>
            <w:pStyle w:val="Obsah1"/>
            <w:tabs>
              <w:tab w:val="right" w:leader="dot" w:pos="9056"/>
            </w:tabs>
            <w:rPr>
              <w:rFonts w:eastAsiaTheme="minorEastAsia"/>
              <w:noProof/>
              <w:sz w:val="20"/>
              <w:szCs w:val="20"/>
              <w:lang w:val="cs-CZ" w:eastAsia="cs-CZ"/>
            </w:rPr>
          </w:pPr>
          <w:r w:rsidRPr="005E20DB">
            <w:rPr>
              <w:b/>
              <w:bCs/>
              <w:sz w:val="20"/>
              <w:szCs w:val="20"/>
            </w:rPr>
            <w:fldChar w:fldCharType="begin"/>
          </w:r>
          <w:r w:rsidR="002B5976" w:rsidRPr="005E20DB">
            <w:rPr>
              <w:b/>
              <w:bCs/>
              <w:sz w:val="20"/>
              <w:szCs w:val="20"/>
            </w:rPr>
            <w:instrText xml:space="preserve"> TOC \o "1-3" \h \z \u  \* MERGEFORMAT </w:instrText>
          </w:r>
          <w:r w:rsidRPr="005E20DB">
            <w:rPr>
              <w:b/>
              <w:bCs/>
              <w:sz w:val="20"/>
              <w:szCs w:val="20"/>
            </w:rPr>
            <w:fldChar w:fldCharType="separate"/>
          </w:r>
          <w:hyperlink w:anchor="_Toc11664122" w:history="1">
            <w:r w:rsidR="002B2871" w:rsidRPr="002B2871">
              <w:rPr>
                <w:rStyle w:val="Hypertextovodkaz"/>
                <w:noProof/>
                <w:sz w:val="20"/>
                <w:szCs w:val="20"/>
              </w:rPr>
              <w:t>ČÁST I</w:t>
            </w:r>
            <w:r w:rsidR="002B2871" w:rsidRPr="002B2871">
              <w:rPr>
                <w:noProof/>
                <w:webHidden/>
                <w:sz w:val="20"/>
                <w:szCs w:val="20"/>
              </w:rPr>
              <w:tab/>
            </w:r>
            <w:r w:rsidRPr="002B2871">
              <w:rPr>
                <w:noProof/>
                <w:webHidden/>
                <w:sz w:val="20"/>
                <w:szCs w:val="20"/>
              </w:rPr>
              <w:fldChar w:fldCharType="begin"/>
            </w:r>
            <w:r w:rsidR="002B2871" w:rsidRPr="002B2871">
              <w:rPr>
                <w:noProof/>
                <w:webHidden/>
                <w:sz w:val="20"/>
                <w:szCs w:val="20"/>
              </w:rPr>
              <w:instrText xml:space="preserve"> PAGEREF _Toc11664122 \h </w:instrText>
            </w:r>
            <w:r w:rsidRPr="002B2871">
              <w:rPr>
                <w:noProof/>
                <w:webHidden/>
                <w:sz w:val="20"/>
                <w:szCs w:val="20"/>
              </w:rPr>
            </w:r>
            <w:r w:rsidRPr="002B287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2B2871" w:rsidRPr="002B2871">
              <w:rPr>
                <w:noProof/>
                <w:webHidden/>
                <w:sz w:val="20"/>
                <w:szCs w:val="20"/>
              </w:rPr>
              <w:t>2</w:t>
            </w:r>
            <w:r w:rsidRPr="002B287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B2871" w:rsidRPr="002B2871" w:rsidRDefault="00115498">
          <w:pPr>
            <w:pStyle w:val="Obsah2"/>
            <w:tabs>
              <w:tab w:val="left" w:pos="880"/>
              <w:tab w:val="right" w:leader="dot" w:pos="9056"/>
            </w:tabs>
            <w:rPr>
              <w:rFonts w:eastAsiaTheme="minorEastAsia"/>
              <w:noProof/>
              <w:sz w:val="20"/>
              <w:szCs w:val="20"/>
              <w:lang w:val="cs-CZ" w:eastAsia="cs-CZ"/>
            </w:rPr>
          </w:pPr>
          <w:hyperlink w:anchor="_Toc11664123" w:history="1">
            <w:r w:rsidR="002B2871" w:rsidRPr="002B2871">
              <w:rPr>
                <w:rStyle w:val="Hypertextovodkaz"/>
                <w:noProof/>
                <w:sz w:val="20"/>
                <w:szCs w:val="20"/>
              </w:rPr>
              <w:t>1.1</w:t>
            </w:r>
            <w:r w:rsidR="002B2871" w:rsidRPr="002B2871">
              <w:rPr>
                <w:rFonts w:eastAsiaTheme="minorEastAsia"/>
                <w:noProof/>
                <w:sz w:val="20"/>
                <w:szCs w:val="20"/>
                <w:lang w:val="cs-CZ" w:eastAsia="cs-CZ"/>
              </w:rPr>
              <w:tab/>
            </w:r>
            <w:r w:rsidR="002B2871" w:rsidRPr="002B2871">
              <w:rPr>
                <w:rStyle w:val="Hypertextovodkaz"/>
                <w:noProof/>
                <w:sz w:val="20"/>
                <w:szCs w:val="20"/>
              </w:rPr>
              <w:t>STRUKTURA MODULŮ M3-M5 V HODNOCENÍ SEGMENTU VYSOKÝCH ŠKOL</w:t>
            </w:r>
            <w:r w:rsidR="002B2871" w:rsidRPr="002B2871">
              <w:rPr>
                <w:noProof/>
                <w:webHidden/>
                <w:sz w:val="20"/>
                <w:szCs w:val="20"/>
              </w:rPr>
              <w:tab/>
            </w:r>
            <w:r w:rsidRPr="002B2871">
              <w:rPr>
                <w:noProof/>
                <w:webHidden/>
                <w:sz w:val="20"/>
                <w:szCs w:val="20"/>
              </w:rPr>
              <w:fldChar w:fldCharType="begin"/>
            </w:r>
            <w:r w:rsidR="002B2871" w:rsidRPr="002B2871">
              <w:rPr>
                <w:noProof/>
                <w:webHidden/>
                <w:sz w:val="20"/>
                <w:szCs w:val="20"/>
              </w:rPr>
              <w:instrText xml:space="preserve"> PAGEREF _Toc11664123 \h </w:instrText>
            </w:r>
            <w:r w:rsidRPr="002B2871">
              <w:rPr>
                <w:noProof/>
                <w:webHidden/>
                <w:sz w:val="20"/>
                <w:szCs w:val="20"/>
              </w:rPr>
            </w:r>
            <w:r w:rsidRPr="002B287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2B2871" w:rsidRPr="002B2871">
              <w:rPr>
                <w:noProof/>
                <w:webHidden/>
                <w:sz w:val="20"/>
                <w:szCs w:val="20"/>
              </w:rPr>
              <w:t>2</w:t>
            </w:r>
            <w:r w:rsidRPr="002B287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24" w:history="1">
            <w:r w:rsidR="002B2871" w:rsidRPr="002B2871">
              <w:rPr>
                <w:rStyle w:val="Hypertextovodkaz"/>
              </w:rPr>
              <w:t>1.1.1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MODUL 3 SPOLEČENSKÁ RELEVANCE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_Toc11664124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2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25" w:history="1">
            <w:r w:rsidR="002B2871" w:rsidRPr="002B2871">
              <w:rPr>
                <w:rStyle w:val="Hypertextovodkaz"/>
              </w:rPr>
              <w:t>1.1.2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MODUL 4 VIABILITA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_Toc11664125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3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26" w:history="1">
            <w:r w:rsidR="002B2871" w:rsidRPr="002B2871">
              <w:rPr>
                <w:rStyle w:val="Hypertextovodkaz"/>
              </w:rPr>
              <w:t>1.1.3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MODUL 5 STRATEGIE A KONCEPCE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_Toc11664126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4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1"/>
            <w:tabs>
              <w:tab w:val="right" w:leader="dot" w:pos="9056"/>
            </w:tabs>
            <w:rPr>
              <w:rFonts w:eastAsiaTheme="minorEastAsia"/>
              <w:noProof/>
              <w:sz w:val="20"/>
              <w:szCs w:val="20"/>
              <w:lang w:val="cs-CZ" w:eastAsia="cs-CZ"/>
            </w:rPr>
          </w:pPr>
          <w:hyperlink w:anchor="_Toc11664127" w:history="1">
            <w:r w:rsidR="002B2871" w:rsidRPr="002B2871">
              <w:rPr>
                <w:rStyle w:val="Hypertextovodkaz"/>
                <w:noProof/>
                <w:sz w:val="20"/>
                <w:szCs w:val="20"/>
              </w:rPr>
              <w:t>ČÁST II</w:t>
            </w:r>
            <w:r w:rsidR="002B2871" w:rsidRPr="002B2871">
              <w:rPr>
                <w:noProof/>
                <w:webHidden/>
                <w:sz w:val="20"/>
                <w:szCs w:val="20"/>
              </w:rPr>
              <w:tab/>
            </w:r>
            <w:r w:rsidRPr="002B2871">
              <w:rPr>
                <w:noProof/>
                <w:webHidden/>
                <w:sz w:val="20"/>
                <w:szCs w:val="20"/>
              </w:rPr>
              <w:fldChar w:fldCharType="begin"/>
            </w:r>
            <w:r w:rsidR="002B2871" w:rsidRPr="002B2871">
              <w:rPr>
                <w:noProof/>
                <w:webHidden/>
                <w:sz w:val="20"/>
                <w:szCs w:val="20"/>
              </w:rPr>
              <w:instrText xml:space="preserve"> PAGEREF _Toc11664127 \h </w:instrText>
            </w:r>
            <w:r w:rsidRPr="002B2871">
              <w:rPr>
                <w:noProof/>
                <w:webHidden/>
                <w:sz w:val="20"/>
                <w:szCs w:val="20"/>
              </w:rPr>
            </w:r>
            <w:r w:rsidRPr="002B287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2B2871" w:rsidRPr="002B2871">
              <w:rPr>
                <w:noProof/>
                <w:webHidden/>
                <w:sz w:val="20"/>
                <w:szCs w:val="20"/>
              </w:rPr>
              <w:t>5</w:t>
            </w:r>
            <w:r w:rsidRPr="002B287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B2871" w:rsidRPr="002B2871" w:rsidRDefault="00115498">
          <w:pPr>
            <w:pStyle w:val="Obsah2"/>
            <w:tabs>
              <w:tab w:val="left" w:pos="880"/>
              <w:tab w:val="right" w:leader="dot" w:pos="9056"/>
            </w:tabs>
            <w:rPr>
              <w:rFonts w:eastAsiaTheme="minorEastAsia"/>
              <w:noProof/>
              <w:sz w:val="20"/>
              <w:szCs w:val="20"/>
              <w:lang w:val="cs-CZ" w:eastAsia="cs-CZ"/>
            </w:rPr>
          </w:pPr>
          <w:hyperlink w:anchor="_Toc11664129" w:history="1">
            <w:r w:rsidR="002B2871" w:rsidRPr="002B2871">
              <w:rPr>
                <w:rStyle w:val="Hypertextovodkaz"/>
                <w:noProof/>
                <w:sz w:val="20"/>
                <w:szCs w:val="20"/>
              </w:rPr>
              <w:t>2.1</w:t>
            </w:r>
            <w:r w:rsidR="002B2871" w:rsidRPr="002B2871">
              <w:rPr>
                <w:rFonts w:eastAsiaTheme="minorEastAsia"/>
                <w:noProof/>
                <w:sz w:val="20"/>
                <w:szCs w:val="20"/>
                <w:lang w:val="cs-CZ" w:eastAsia="cs-CZ"/>
              </w:rPr>
              <w:tab/>
            </w:r>
            <w:r w:rsidR="002B2871" w:rsidRPr="002B2871">
              <w:rPr>
                <w:rStyle w:val="Hypertextovodkaz"/>
                <w:noProof/>
                <w:sz w:val="20"/>
                <w:szCs w:val="20"/>
              </w:rPr>
              <w:t>POPIS MODULŮ M3-M5 V HODNOCENÍ SEGMENTU VYSOKÝCH ŠKOL</w:t>
            </w:r>
            <w:r w:rsidR="002B2871" w:rsidRPr="002B2871">
              <w:rPr>
                <w:noProof/>
                <w:webHidden/>
                <w:sz w:val="20"/>
                <w:szCs w:val="20"/>
              </w:rPr>
              <w:tab/>
            </w:r>
            <w:r w:rsidRPr="002B2871">
              <w:rPr>
                <w:noProof/>
                <w:webHidden/>
                <w:sz w:val="20"/>
                <w:szCs w:val="20"/>
              </w:rPr>
              <w:fldChar w:fldCharType="begin"/>
            </w:r>
            <w:r w:rsidR="002B2871" w:rsidRPr="002B2871">
              <w:rPr>
                <w:noProof/>
                <w:webHidden/>
                <w:sz w:val="20"/>
                <w:szCs w:val="20"/>
              </w:rPr>
              <w:instrText xml:space="preserve"> PAGEREF _Toc11664129 \h </w:instrText>
            </w:r>
            <w:r w:rsidRPr="002B2871">
              <w:rPr>
                <w:noProof/>
                <w:webHidden/>
                <w:sz w:val="20"/>
                <w:szCs w:val="20"/>
              </w:rPr>
            </w:r>
            <w:r w:rsidRPr="002B287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2B2871" w:rsidRPr="002B2871">
              <w:rPr>
                <w:noProof/>
                <w:webHidden/>
                <w:sz w:val="20"/>
                <w:szCs w:val="20"/>
              </w:rPr>
              <w:t>5</w:t>
            </w:r>
            <w:r w:rsidRPr="002B287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30" w:history="1">
            <w:r w:rsidR="002B2871" w:rsidRPr="002B2871">
              <w:rPr>
                <w:rStyle w:val="Hypertextovodkaz"/>
              </w:rPr>
              <w:t>2.1.1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MODUL 3 SPOLEČENSKÁ RELEVANCE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_Toc11664130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5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31" w:history="1">
            <w:r w:rsidR="002B2871" w:rsidRPr="002B2871">
              <w:rPr>
                <w:rStyle w:val="Hypertextovodkaz"/>
              </w:rPr>
              <w:t>2.1.2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MODUL 4 VIABILITA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_Toc11664131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12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32" w:history="1">
            <w:r w:rsidR="002B2871" w:rsidRPr="002B2871">
              <w:rPr>
                <w:rStyle w:val="Hypertextovodkaz"/>
              </w:rPr>
              <w:t>2.1.3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MODUL 5 STRATEGIE A KONCEPCE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_Toc11664132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24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1"/>
            <w:tabs>
              <w:tab w:val="right" w:leader="dot" w:pos="9056"/>
            </w:tabs>
            <w:rPr>
              <w:rFonts w:eastAsiaTheme="minorEastAsia"/>
              <w:noProof/>
              <w:sz w:val="20"/>
              <w:szCs w:val="20"/>
              <w:lang w:val="cs-CZ" w:eastAsia="cs-CZ"/>
            </w:rPr>
          </w:pPr>
          <w:hyperlink w:anchor="_Toc11664133" w:history="1">
            <w:r w:rsidR="002B2871" w:rsidRPr="002B2871">
              <w:rPr>
                <w:rStyle w:val="Hypertextovodkaz"/>
                <w:noProof/>
                <w:sz w:val="20"/>
                <w:szCs w:val="20"/>
              </w:rPr>
              <w:t>ČÁST III</w:t>
            </w:r>
            <w:r w:rsidR="002B2871" w:rsidRPr="002B2871">
              <w:rPr>
                <w:noProof/>
                <w:webHidden/>
                <w:sz w:val="20"/>
                <w:szCs w:val="20"/>
              </w:rPr>
              <w:tab/>
            </w:r>
            <w:r w:rsidRPr="002B2871">
              <w:rPr>
                <w:noProof/>
                <w:webHidden/>
                <w:sz w:val="20"/>
                <w:szCs w:val="20"/>
              </w:rPr>
              <w:fldChar w:fldCharType="begin"/>
            </w:r>
            <w:r w:rsidR="002B2871" w:rsidRPr="002B2871">
              <w:rPr>
                <w:noProof/>
                <w:webHidden/>
                <w:sz w:val="20"/>
                <w:szCs w:val="20"/>
              </w:rPr>
              <w:instrText xml:space="preserve"> PAGEREF _Toc11664133 \h </w:instrText>
            </w:r>
            <w:r w:rsidRPr="002B2871">
              <w:rPr>
                <w:noProof/>
                <w:webHidden/>
                <w:sz w:val="20"/>
                <w:szCs w:val="20"/>
              </w:rPr>
            </w:r>
            <w:r w:rsidRPr="002B287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2B2871" w:rsidRPr="002B2871">
              <w:rPr>
                <w:noProof/>
                <w:webHidden/>
                <w:sz w:val="20"/>
                <w:szCs w:val="20"/>
              </w:rPr>
              <w:t>27</w:t>
            </w:r>
            <w:r w:rsidRPr="002B287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B2871" w:rsidRPr="002B2871" w:rsidRDefault="00115498">
          <w:pPr>
            <w:pStyle w:val="Obsah2"/>
            <w:tabs>
              <w:tab w:val="left" w:pos="880"/>
              <w:tab w:val="right" w:leader="dot" w:pos="9056"/>
            </w:tabs>
            <w:rPr>
              <w:rFonts w:eastAsiaTheme="minorEastAsia"/>
              <w:noProof/>
              <w:sz w:val="20"/>
              <w:szCs w:val="20"/>
              <w:lang w:val="cs-CZ" w:eastAsia="cs-CZ"/>
            </w:rPr>
          </w:pPr>
          <w:hyperlink w:anchor="_Toc11664135" w:history="1">
            <w:r w:rsidR="002B2871" w:rsidRPr="002B2871">
              <w:rPr>
                <w:rStyle w:val="Hypertextovodkaz"/>
                <w:noProof/>
                <w:sz w:val="20"/>
                <w:szCs w:val="20"/>
              </w:rPr>
              <w:t>3.1</w:t>
            </w:r>
            <w:r w:rsidR="002B2871" w:rsidRPr="002B2871">
              <w:rPr>
                <w:rFonts w:eastAsiaTheme="minorEastAsia"/>
                <w:noProof/>
                <w:sz w:val="20"/>
                <w:szCs w:val="20"/>
                <w:lang w:val="cs-CZ" w:eastAsia="cs-CZ"/>
              </w:rPr>
              <w:tab/>
            </w:r>
            <w:r w:rsidR="002B2871" w:rsidRPr="002B2871">
              <w:rPr>
                <w:rStyle w:val="Hypertextovodkaz"/>
                <w:noProof/>
                <w:sz w:val="20"/>
                <w:szCs w:val="20"/>
              </w:rPr>
              <w:t>HODNOCENÍ VEŘEJNÉ A SOUKROMÉ VYSOKÉ ŠKOLY V MODULECH  M3-M5</w:t>
            </w:r>
            <w:r w:rsidR="002B2871" w:rsidRPr="002B2871">
              <w:rPr>
                <w:noProof/>
                <w:webHidden/>
                <w:sz w:val="20"/>
                <w:szCs w:val="20"/>
              </w:rPr>
              <w:tab/>
            </w:r>
            <w:r w:rsidRPr="002B2871">
              <w:rPr>
                <w:noProof/>
                <w:webHidden/>
                <w:sz w:val="20"/>
                <w:szCs w:val="20"/>
              </w:rPr>
              <w:fldChar w:fldCharType="begin"/>
            </w:r>
            <w:r w:rsidR="002B2871" w:rsidRPr="002B2871">
              <w:rPr>
                <w:noProof/>
                <w:webHidden/>
                <w:sz w:val="20"/>
                <w:szCs w:val="20"/>
              </w:rPr>
              <w:instrText xml:space="preserve"> PAGEREF _Toc11664135 \h </w:instrText>
            </w:r>
            <w:r w:rsidRPr="002B2871">
              <w:rPr>
                <w:noProof/>
                <w:webHidden/>
                <w:sz w:val="20"/>
                <w:szCs w:val="20"/>
              </w:rPr>
            </w:r>
            <w:r w:rsidRPr="002B287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2B2871" w:rsidRPr="002B2871">
              <w:rPr>
                <w:noProof/>
                <w:webHidden/>
                <w:sz w:val="20"/>
                <w:szCs w:val="20"/>
              </w:rPr>
              <w:t>27</w:t>
            </w:r>
            <w:r w:rsidRPr="002B287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36" w:history="1">
            <w:r w:rsidR="002B2871" w:rsidRPr="002B2871">
              <w:rPr>
                <w:rStyle w:val="Hypertextovodkaz"/>
              </w:rPr>
              <w:t>3.1.1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KALIBRACE A BODOVÉ HODNOCENÍ MODULU M3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_Toc11664136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27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37" w:history="1">
            <w:r w:rsidR="002B2871" w:rsidRPr="002B2871">
              <w:rPr>
                <w:rStyle w:val="Hypertextovodkaz"/>
              </w:rPr>
              <w:t>3.1.1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BODOVÉ HODNOCENÍ MODULU M4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_Toc11664137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30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38" w:history="1">
            <w:r w:rsidR="002B2871" w:rsidRPr="002B2871">
              <w:rPr>
                <w:rStyle w:val="Hypertextovodkaz"/>
              </w:rPr>
              <w:t>3.1.2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BODOVÉ HODNOCENÍ MODULU M5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_Toc11664138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32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39" w:history="1">
            <w:r w:rsidR="002B2871" w:rsidRPr="002B2871">
              <w:rPr>
                <w:rStyle w:val="Hypertextovodkaz"/>
              </w:rPr>
              <w:t>3.1.3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SYNTÉZA MODULŮ M4 A M5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_Toc11664139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33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2"/>
            <w:tabs>
              <w:tab w:val="left" w:pos="880"/>
              <w:tab w:val="right" w:leader="dot" w:pos="9056"/>
            </w:tabs>
            <w:rPr>
              <w:rFonts w:eastAsiaTheme="minorEastAsia"/>
              <w:noProof/>
              <w:sz w:val="20"/>
              <w:szCs w:val="20"/>
              <w:lang w:val="cs-CZ" w:eastAsia="cs-CZ"/>
            </w:rPr>
          </w:pPr>
          <w:hyperlink w:anchor="_Toc11664140" w:history="1">
            <w:r w:rsidR="002B2871" w:rsidRPr="002B2871">
              <w:rPr>
                <w:rStyle w:val="Hypertextovodkaz"/>
                <w:noProof/>
                <w:sz w:val="20"/>
                <w:szCs w:val="20"/>
              </w:rPr>
              <w:t>3.2</w:t>
            </w:r>
            <w:r w:rsidR="002B2871" w:rsidRPr="002B2871">
              <w:rPr>
                <w:rFonts w:eastAsiaTheme="minorEastAsia"/>
                <w:noProof/>
                <w:sz w:val="20"/>
                <w:szCs w:val="20"/>
                <w:lang w:val="cs-CZ" w:eastAsia="cs-CZ"/>
              </w:rPr>
              <w:tab/>
            </w:r>
            <w:r w:rsidR="002B2871" w:rsidRPr="002B2871">
              <w:rPr>
                <w:rStyle w:val="Hypertextovodkaz"/>
                <w:noProof/>
                <w:sz w:val="20"/>
                <w:szCs w:val="20"/>
              </w:rPr>
              <w:t>HODNOCENÍ STÁTNÍ VYSOKÉ ŠKOLY VOJENSKÉ V MODULECH  M3-M5</w:t>
            </w:r>
            <w:r w:rsidR="002B2871" w:rsidRPr="002B2871">
              <w:rPr>
                <w:noProof/>
                <w:webHidden/>
                <w:sz w:val="20"/>
                <w:szCs w:val="20"/>
              </w:rPr>
              <w:tab/>
            </w:r>
            <w:r w:rsidRPr="002B2871">
              <w:rPr>
                <w:noProof/>
                <w:webHidden/>
                <w:sz w:val="20"/>
                <w:szCs w:val="20"/>
              </w:rPr>
              <w:fldChar w:fldCharType="begin"/>
            </w:r>
            <w:r w:rsidR="002B2871" w:rsidRPr="002B2871">
              <w:rPr>
                <w:noProof/>
                <w:webHidden/>
                <w:sz w:val="20"/>
                <w:szCs w:val="20"/>
              </w:rPr>
              <w:instrText xml:space="preserve"> PAGEREF _Toc11664140 \h </w:instrText>
            </w:r>
            <w:r w:rsidRPr="002B2871">
              <w:rPr>
                <w:noProof/>
                <w:webHidden/>
                <w:sz w:val="20"/>
                <w:szCs w:val="20"/>
              </w:rPr>
            </w:r>
            <w:r w:rsidRPr="002B287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2B2871" w:rsidRPr="002B2871">
              <w:rPr>
                <w:noProof/>
                <w:webHidden/>
                <w:sz w:val="20"/>
                <w:szCs w:val="20"/>
              </w:rPr>
              <w:t>34</w:t>
            </w:r>
            <w:r w:rsidRPr="002B287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41" w:history="1">
            <w:r w:rsidR="002B2871" w:rsidRPr="002B2871">
              <w:rPr>
                <w:rStyle w:val="Hypertextovodkaz"/>
              </w:rPr>
              <w:t>3.2.1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KALIBRACE A BODOVÉ HODNOCENÍ MODULU M3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_Toc11664141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34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42" w:history="1">
            <w:r w:rsidR="002B2871" w:rsidRPr="002B2871">
              <w:rPr>
                <w:rStyle w:val="Hypertextovodkaz"/>
              </w:rPr>
              <w:t>3.2.2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BODOVÉ HODNOCENÍ MODULU M4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_Toc11664142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36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43" w:history="1">
            <w:r w:rsidR="002B2871" w:rsidRPr="002B2871">
              <w:rPr>
                <w:rStyle w:val="Hypertextovodkaz"/>
              </w:rPr>
              <w:t>3.2.3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BODOVÉ HODNOCENÍ MODULU M5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_Toc11664143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38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44" w:history="1">
            <w:r w:rsidR="002B2871" w:rsidRPr="002B2871">
              <w:rPr>
                <w:rStyle w:val="Hypertextovodkaz"/>
              </w:rPr>
              <w:t>3.2.4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SYNTÉZA MODULŮ M4 A M5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_Toc11664144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39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2"/>
            <w:tabs>
              <w:tab w:val="left" w:pos="880"/>
              <w:tab w:val="right" w:leader="dot" w:pos="9056"/>
            </w:tabs>
            <w:rPr>
              <w:rFonts w:eastAsiaTheme="minorEastAsia"/>
              <w:noProof/>
              <w:sz w:val="20"/>
              <w:szCs w:val="20"/>
              <w:lang w:val="cs-CZ" w:eastAsia="cs-CZ"/>
            </w:rPr>
          </w:pPr>
          <w:hyperlink w:anchor="_Toc11664145" w:history="1">
            <w:r w:rsidR="002B2871" w:rsidRPr="002B2871">
              <w:rPr>
                <w:rStyle w:val="Hypertextovodkaz"/>
                <w:noProof/>
                <w:sz w:val="20"/>
                <w:szCs w:val="20"/>
              </w:rPr>
              <w:t>3.3</w:t>
            </w:r>
            <w:r w:rsidR="002B2871" w:rsidRPr="002B2871">
              <w:rPr>
                <w:rFonts w:eastAsiaTheme="minorEastAsia"/>
                <w:noProof/>
                <w:sz w:val="20"/>
                <w:szCs w:val="20"/>
                <w:lang w:val="cs-CZ" w:eastAsia="cs-CZ"/>
              </w:rPr>
              <w:tab/>
            </w:r>
            <w:r w:rsidR="002B2871" w:rsidRPr="002B2871">
              <w:rPr>
                <w:rStyle w:val="Hypertextovodkaz"/>
                <w:noProof/>
                <w:sz w:val="20"/>
                <w:szCs w:val="20"/>
              </w:rPr>
              <w:t>HODNOCENÍ STÁTNÍ VYSOKÉ ŠKOLY POLICEJNÍ V MODULECH  M3-M5</w:t>
            </w:r>
            <w:r w:rsidR="002B2871" w:rsidRPr="002B2871">
              <w:rPr>
                <w:noProof/>
                <w:webHidden/>
                <w:sz w:val="20"/>
                <w:szCs w:val="20"/>
              </w:rPr>
              <w:tab/>
            </w:r>
            <w:r w:rsidRPr="002B2871">
              <w:rPr>
                <w:noProof/>
                <w:webHidden/>
                <w:sz w:val="20"/>
                <w:szCs w:val="20"/>
              </w:rPr>
              <w:fldChar w:fldCharType="begin"/>
            </w:r>
            <w:r w:rsidR="002B2871" w:rsidRPr="002B2871">
              <w:rPr>
                <w:noProof/>
                <w:webHidden/>
                <w:sz w:val="20"/>
                <w:szCs w:val="20"/>
              </w:rPr>
              <w:instrText xml:space="preserve"> PAGEREF _Toc11664145 \h </w:instrText>
            </w:r>
            <w:r w:rsidRPr="002B2871">
              <w:rPr>
                <w:noProof/>
                <w:webHidden/>
                <w:sz w:val="20"/>
                <w:szCs w:val="20"/>
              </w:rPr>
            </w:r>
            <w:r w:rsidRPr="002B287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2B2871" w:rsidRPr="002B2871">
              <w:rPr>
                <w:noProof/>
                <w:webHidden/>
                <w:sz w:val="20"/>
                <w:szCs w:val="20"/>
              </w:rPr>
              <w:t>40</w:t>
            </w:r>
            <w:r w:rsidRPr="002B287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46" w:history="1">
            <w:r w:rsidR="002B2871" w:rsidRPr="002B2871">
              <w:rPr>
                <w:rStyle w:val="Hypertextovodkaz"/>
              </w:rPr>
              <w:t>3.3.1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KALIBRACE A BODOVÉ HODNOCENÍ MODULU M3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_Toc11664146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40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47" w:history="1">
            <w:r w:rsidR="002B2871" w:rsidRPr="002B2871">
              <w:rPr>
                <w:rStyle w:val="Hypertextovodkaz"/>
              </w:rPr>
              <w:t>3.3.2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BODOVÉ HODNOCENÍ MODULU M4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_Toc11664147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42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48" w:history="1">
            <w:r w:rsidR="002B2871" w:rsidRPr="002B2871">
              <w:rPr>
                <w:rStyle w:val="Hypertextovodkaz"/>
              </w:rPr>
              <w:t>3.3.3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BODOVÉ HODNOCENÍ MODULU M5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_Toc11664148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44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49" w:history="1">
            <w:r w:rsidR="002B2871" w:rsidRPr="002B2871">
              <w:rPr>
                <w:rStyle w:val="Hypertextovodkaz"/>
              </w:rPr>
              <w:t>3.3.4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SYNTÉZA MODULŮ M4 A M5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_Toc11664149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45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1"/>
            <w:tabs>
              <w:tab w:val="right" w:leader="dot" w:pos="9056"/>
            </w:tabs>
            <w:rPr>
              <w:rFonts w:eastAsiaTheme="minorEastAsia"/>
              <w:noProof/>
              <w:sz w:val="20"/>
              <w:szCs w:val="20"/>
              <w:lang w:val="cs-CZ" w:eastAsia="cs-CZ"/>
            </w:rPr>
          </w:pPr>
          <w:hyperlink w:anchor="_Toc11664150" w:history="1">
            <w:r w:rsidR="002B2871" w:rsidRPr="002B2871">
              <w:rPr>
                <w:rStyle w:val="Hypertextovodkaz"/>
                <w:noProof/>
                <w:sz w:val="20"/>
                <w:szCs w:val="20"/>
              </w:rPr>
              <w:t>ČÁST IV</w:t>
            </w:r>
            <w:r w:rsidR="002B2871" w:rsidRPr="002B2871">
              <w:rPr>
                <w:noProof/>
                <w:webHidden/>
                <w:sz w:val="20"/>
                <w:szCs w:val="20"/>
              </w:rPr>
              <w:tab/>
            </w:r>
            <w:r w:rsidRPr="002B2871">
              <w:rPr>
                <w:noProof/>
                <w:webHidden/>
                <w:sz w:val="20"/>
                <w:szCs w:val="20"/>
              </w:rPr>
              <w:fldChar w:fldCharType="begin"/>
            </w:r>
            <w:r w:rsidR="002B2871" w:rsidRPr="002B2871">
              <w:rPr>
                <w:noProof/>
                <w:webHidden/>
                <w:sz w:val="20"/>
                <w:szCs w:val="20"/>
              </w:rPr>
              <w:instrText xml:space="preserve"> PAGEREF _Toc11664150 \h </w:instrText>
            </w:r>
            <w:r w:rsidRPr="002B2871">
              <w:rPr>
                <w:noProof/>
                <w:webHidden/>
                <w:sz w:val="20"/>
                <w:szCs w:val="20"/>
              </w:rPr>
            </w:r>
            <w:r w:rsidRPr="002B287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2B2871" w:rsidRPr="002B2871">
              <w:rPr>
                <w:noProof/>
                <w:webHidden/>
                <w:sz w:val="20"/>
                <w:szCs w:val="20"/>
              </w:rPr>
              <w:t>46</w:t>
            </w:r>
            <w:r w:rsidRPr="002B287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B2871" w:rsidRPr="002B2871" w:rsidRDefault="00115498">
          <w:pPr>
            <w:pStyle w:val="Obsah2"/>
            <w:tabs>
              <w:tab w:val="left" w:pos="880"/>
              <w:tab w:val="right" w:leader="dot" w:pos="9056"/>
            </w:tabs>
            <w:rPr>
              <w:rFonts w:eastAsiaTheme="minorEastAsia"/>
              <w:noProof/>
              <w:sz w:val="20"/>
              <w:szCs w:val="20"/>
              <w:lang w:val="cs-CZ" w:eastAsia="cs-CZ"/>
            </w:rPr>
          </w:pPr>
          <w:hyperlink w:anchor="_Toc11664152" w:history="1">
            <w:r w:rsidR="002B2871" w:rsidRPr="002B2871">
              <w:rPr>
                <w:rStyle w:val="Hypertextovodkaz"/>
                <w:noProof/>
                <w:sz w:val="20"/>
                <w:szCs w:val="20"/>
              </w:rPr>
              <w:t>4.1</w:t>
            </w:r>
            <w:r w:rsidR="002B2871" w:rsidRPr="002B2871">
              <w:rPr>
                <w:rFonts w:eastAsiaTheme="minorEastAsia"/>
                <w:noProof/>
                <w:sz w:val="20"/>
                <w:szCs w:val="20"/>
                <w:lang w:val="cs-CZ" w:eastAsia="cs-CZ"/>
              </w:rPr>
              <w:tab/>
            </w:r>
            <w:r w:rsidR="002B2871" w:rsidRPr="002B2871">
              <w:rPr>
                <w:rStyle w:val="Hypertextovodkaz"/>
                <w:noProof/>
                <w:sz w:val="20"/>
                <w:szCs w:val="20"/>
              </w:rPr>
              <w:t>PROCES HODNOCENÍ</w:t>
            </w:r>
            <w:r w:rsidR="002B2871" w:rsidRPr="002B2871">
              <w:rPr>
                <w:noProof/>
                <w:webHidden/>
                <w:sz w:val="20"/>
                <w:szCs w:val="20"/>
              </w:rPr>
              <w:tab/>
            </w:r>
            <w:r w:rsidRPr="002B2871">
              <w:rPr>
                <w:noProof/>
                <w:webHidden/>
                <w:sz w:val="20"/>
                <w:szCs w:val="20"/>
              </w:rPr>
              <w:fldChar w:fldCharType="begin"/>
            </w:r>
            <w:r w:rsidR="002B2871" w:rsidRPr="002B2871">
              <w:rPr>
                <w:noProof/>
                <w:webHidden/>
                <w:sz w:val="20"/>
                <w:szCs w:val="20"/>
              </w:rPr>
              <w:instrText xml:space="preserve"> PAGEREF _Toc11664152 \h </w:instrText>
            </w:r>
            <w:r w:rsidRPr="002B2871">
              <w:rPr>
                <w:noProof/>
                <w:webHidden/>
                <w:sz w:val="20"/>
                <w:szCs w:val="20"/>
              </w:rPr>
            </w:r>
            <w:r w:rsidRPr="002B287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2B2871" w:rsidRPr="002B2871">
              <w:rPr>
                <w:noProof/>
                <w:webHidden/>
                <w:sz w:val="20"/>
                <w:szCs w:val="20"/>
              </w:rPr>
              <w:t>46</w:t>
            </w:r>
            <w:r w:rsidRPr="002B287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53" w:history="1">
            <w:r w:rsidR="002B2871" w:rsidRPr="002B2871">
              <w:rPr>
                <w:rStyle w:val="Hypertextovodkaz"/>
              </w:rPr>
              <w:t>4.1.1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PŘÍPRAVNÁ FÁZE HODNOCENÍ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_Toc11664153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47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54" w:history="1">
            <w:r w:rsidR="002B2871" w:rsidRPr="002B2871">
              <w:rPr>
                <w:rStyle w:val="Hypertextovodkaz"/>
              </w:rPr>
              <w:t>4.1.2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REALIZAČNÍ FÁZE HODNOCENÍ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_Toc11664154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48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55" w:history="1">
            <w:r w:rsidR="002B2871" w:rsidRPr="002B2871">
              <w:rPr>
                <w:rStyle w:val="Hypertextovodkaz"/>
              </w:rPr>
              <w:t>4.1.3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RÁMCOVÝ HARMONOGRAM HODNOCENÍ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_Toc11664155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50</w:t>
            </w:r>
            <w:r w:rsidRPr="002B2871">
              <w:rPr>
                <w:webHidden/>
              </w:rPr>
              <w:fldChar w:fldCharType="end"/>
            </w:r>
          </w:hyperlink>
        </w:p>
        <w:p w:rsidR="002B2871" w:rsidRPr="002B2871" w:rsidRDefault="00115498">
          <w:pPr>
            <w:pStyle w:val="Obsah1"/>
            <w:tabs>
              <w:tab w:val="right" w:leader="dot" w:pos="9056"/>
            </w:tabs>
            <w:rPr>
              <w:rFonts w:eastAsiaTheme="minorEastAsia"/>
              <w:noProof/>
              <w:sz w:val="20"/>
              <w:szCs w:val="20"/>
              <w:lang w:val="cs-CZ" w:eastAsia="cs-CZ"/>
            </w:rPr>
          </w:pPr>
          <w:hyperlink w:anchor="_Toc11664156" w:history="1">
            <w:r w:rsidR="002B2871" w:rsidRPr="002B2871">
              <w:rPr>
                <w:rStyle w:val="Hypertextovodkaz"/>
                <w:noProof/>
                <w:sz w:val="20"/>
                <w:szCs w:val="20"/>
              </w:rPr>
              <w:t>ČÁST V</w:t>
            </w:r>
            <w:r w:rsidR="002B2871" w:rsidRPr="002B2871">
              <w:rPr>
                <w:noProof/>
                <w:webHidden/>
                <w:sz w:val="20"/>
                <w:szCs w:val="20"/>
              </w:rPr>
              <w:tab/>
            </w:r>
            <w:r w:rsidRPr="002B2871">
              <w:rPr>
                <w:noProof/>
                <w:webHidden/>
                <w:sz w:val="20"/>
                <w:szCs w:val="20"/>
              </w:rPr>
              <w:fldChar w:fldCharType="begin"/>
            </w:r>
            <w:r w:rsidR="002B2871" w:rsidRPr="002B2871">
              <w:rPr>
                <w:noProof/>
                <w:webHidden/>
                <w:sz w:val="20"/>
                <w:szCs w:val="20"/>
              </w:rPr>
              <w:instrText xml:space="preserve"> PAGEREF _Toc11664156 \h </w:instrText>
            </w:r>
            <w:r w:rsidRPr="002B2871">
              <w:rPr>
                <w:noProof/>
                <w:webHidden/>
                <w:sz w:val="20"/>
                <w:szCs w:val="20"/>
              </w:rPr>
            </w:r>
            <w:r w:rsidRPr="002B287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2B2871" w:rsidRPr="002B2871">
              <w:rPr>
                <w:noProof/>
                <w:webHidden/>
                <w:sz w:val="20"/>
                <w:szCs w:val="20"/>
              </w:rPr>
              <w:t>51</w:t>
            </w:r>
            <w:r w:rsidRPr="002B287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B2871" w:rsidRPr="002B2871" w:rsidRDefault="00115498">
          <w:pPr>
            <w:pStyle w:val="Obsah2"/>
            <w:tabs>
              <w:tab w:val="left" w:pos="880"/>
              <w:tab w:val="right" w:leader="dot" w:pos="9056"/>
            </w:tabs>
            <w:rPr>
              <w:rFonts w:eastAsiaTheme="minorEastAsia"/>
              <w:noProof/>
              <w:sz w:val="20"/>
              <w:szCs w:val="20"/>
              <w:lang w:val="cs-CZ" w:eastAsia="cs-CZ"/>
            </w:rPr>
          </w:pPr>
          <w:hyperlink w:anchor="_Toc11664158" w:history="1">
            <w:r w:rsidR="002B2871" w:rsidRPr="002B2871">
              <w:rPr>
                <w:rStyle w:val="Hypertextovodkaz"/>
                <w:noProof/>
                <w:sz w:val="20"/>
                <w:szCs w:val="20"/>
              </w:rPr>
              <w:t>5.1</w:t>
            </w:r>
            <w:r w:rsidR="002B2871" w:rsidRPr="002B2871">
              <w:rPr>
                <w:rFonts w:eastAsiaTheme="minorEastAsia"/>
                <w:noProof/>
                <w:sz w:val="20"/>
                <w:szCs w:val="20"/>
                <w:lang w:val="cs-CZ" w:eastAsia="cs-CZ"/>
              </w:rPr>
              <w:tab/>
            </w:r>
            <w:r w:rsidR="002B2871" w:rsidRPr="002B2871">
              <w:rPr>
                <w:rStyle w:val="Hypertextovodkaz"/>
                <w:noProof/>
                <w:sz w:val="20"/>
                <w:szCs w:val="20"/>
              </w:rPr>
              <w:t>VYUŽITÍ VÝSLEDKŮ HODNOCENÍ</w:t>
            </w:r>
            <w:r w:rsidR="002B2871" w:rsidRPr="002B2871">
              <w:rPr>
                <w:noProof/>
                <w:webHidden/>
                <w:sz w:val="20"/>
                <w:szCs w:val="20"/>
              </w:rPr>
              <w:tab/>
            </w:r>
            <w:r w:rsidRPr="002B2871">
              <w:rPr>
                <w:noProof/>
                <w:webHidden/>
                <w:sz w:val="20"/>
                <w:szCs w:val="20"/>
              </w:rPr>
              <w:fldChar w:fldCharType="begin"/>
            </w:r>
            <w:r w:rsidR="002B2871" w:rsidRPr="002B2871">
              <w:rPr>
                <w:noProof/>
                <w:webHidden/>
                <w:sz w:val="20"/>
                <w:szCs w:val="20"/>
              </w:rPr>
              <w:instrText xml:space="preserve"> PAGEREF _Toc11664158 \h </w:instrText>
            </w:r>
            <w:r w:rsidRPr="002B2871">
              <w:rPr>
                <w:noProof/>
                <w:webHidden/>
                <w:sz w:val="20"/>
                <w:szCs w:val="20"/>
              </w:rPr>
            </w:r>
            <w:r w:rsidRPr="002B287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2B2871" w:rsidRPr="002B2871">
              <w:rPr>
                <w:noProof/>
                <w:webHidden/>
                <w:sz w:val="20"/>
                <w:szCs w:val="20"/>
              </w:rPr>
              <w:t>51</w:t>
            </w:r>
            <w:r w:rsidRPr="002B287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B2871" w:rsidRPr="002B2871" w:rsidRDefault="00115498">
          <w:pPr>
            <w:pStyle w:val="Obsah3"/>
            <w:rPr>
              <w:rFonts w:eastAsiaTheme="minorEastAsia"/>
              <w:lang w:eastAsia="cs-CZ"/>
            </w:rPr>
          </w:pPr>
          <w:hyperlink w:anchor="_Toc11664159" w:history="1">
            <w:r w:rsidR="002B2871" w:rsidRPr="002B2871">
              <w:rPr>
                <w:rStyle w:val="Hypertextovodkaz"/>
              </w:rPr>
              <w:t>5.1.1</w:t>
            </w:r>
            <w:r w:rsidR="002B2871" w:rsidRPr="002B2871">
              <w:rPr>
                <w:rFonts w:eastAsiaTheme="minorEastAsia"/>
                <w:lang w:eastAsia="cs-CZ"/>
              </w:rPr>
              <w:tab/>
            </w:r>
            <w:r w:rsidR="002B2871" w:rsidRPr="002B2871">
              <w:rPr>
                <w:rStyle w:val="Hypertextovodkaz"/>
              </w:rPr>
              <w:t>VYUŽITÍ VÝSLEDKŮ HODNOCENÍ V SEGMENTU VYSOKÝCH ŠKOL PRO FINANCOVÁNÍ VAVAI</w:t>
            </w:r>
            <w:r w:rsidR="002B2871" w:rsidRPr="002B2871">
              <w:rPr>
                <w:webHidden/>
              </w:rPr>
              <w:tab/>
            </w:r>
            <w:r w:rsidRPr="002B2871">
              <w:rPr>
                <w:webHidden/>
              </w:rPr>
              <w:fldChar w:fldCharType="begin"/>
            </w:r>
            <w:r w:rsidR="002B2871" w:rsidRPr="002B2871">
              <w:rPr>
                <w:webHidden/>
              </w:rPr>
              <w:instrText xml:space="preserve"> PAGEREF _Toc11664159 \h </w:instrText>
            </w:r>
            <w:r w:rsidRPr="002B2871">
              <w:rPr>
                <w:webHidden/>
              </w:rPr>
            </w:r>
            <w:r w:rsidRPr="002B2871">
              <w:rPr>
                <w:webHidden/>
              </w:rPr>
              <w:fldChar w:fldCharType="separate"/>
            </w:r>
            <w:r w:rsidR="002B2871" w:rsidRPr="002B2871">
              <w:rPr>
                <w:webHidden/>
              </w:rPr>
              <w:t>51</w:t>
            </w:r>
            <w:r w:rsidRPr="002B2871">
              <w:rPr>
                <w:webHidden/>
              </w:rPr>
              <w:fldChar w:fldCharType="end"/>
            </w:r>
          </w:hyperlink>
        </w:p>
        <w:p w:rsidR="00F26A6E" w:rsidRPr="005E20DB" w:rsidRDefault="00115498" w:rsidP="00F26A6E">
          <w:pPr>
            <w:rPr>
              <w:b/>
              <w:bCs/>
              <w:sz w:val="20"/>
              <w:szCs w:val="20"/>
            </w:rPr>
          </w:pPr>
          <w:r w:rsidRPr="005E20DB">
            <w:rPr>
              <w:b/>
              <w:bCs/>
              <w:sz w:val="20"/>
              <w:szCs w:val="20"/>
            </w:rPr>
            <w:fldChar w:fldCharType="end"/>
          </w:r>
        </w:p>
        <w:p w:rsidR="007E245C" w:rsidRPr="005E20DB" w:rsidRDefault="00115498" w:rsidP="00F26A6E">
          <w:pPr>
            <w:rPr>
              <w:sz w:val="20"/>
              <w:szCs w:val="20"/>
            </w:rPr>
          </w:pPr>
        </w:p>
      </w:sdtContent>
    </w:sdt>
    <w:bookmarkStart w:id="0" w:name="_Toc7772790" w:displacedByCustomXml="prev"/>
    <w:bookmarkStart w:id="1" w:name="_Toc7772752" w:displacedByCustomXml="prev"/>
    <w:p w:rsidR="007D7C81" w:rsidRPr="00374F1B" w:rsidRDefault="007D7C81" w:rsidP="00B85213">
      <w:pPr>
        <w:pStyle w:val="Nadpis1"/>
      </w:pPr>
      <w:bookmarkStart w:id="2" w:name="_Toc11664122"/>
      <w:r w:rsidRPr="00374F1B">
        <w:lastRenderedPageBreak/>
        <w:t>ČÁST I</w:t>
      </w:r>
      <w:bookmarkEnd w:id="1"/>
      <w:bookmarkEnd w:id="0"/>
      <w:bookmarkEnd w:id="2"/>
    </w:p>
    <w:p w:rsidR="000F31B0" w:rsidRPr="00375A49" w:rsidRDefault="000F31B0" w:rsidP="000F31B0">
      <w:pPr>
        <w:pStyle w:val="Nadpis2"/>
        <w:numPr>
          <w:ilvl w:val="1"/>
          <w:numId w:val="14"/>
        </w:numPr>
      </w:pPr>
      <w:bookmarkStart w:id="3" w:name="_Toc6493941"/>
      <w:bookmarkStart w:id="4" w:name="_Toc7772753"/>
      <w:bookmarkStart w:id="5" w:name="_Toc11664123"/>
      <w:r>
        <w:t xml:space="preserve">STRUKTURA </w:t>
      </w:r>
      <w:r w:rsidRPr="00375A49">
        <w:t>MODUL</w:t>
      </w:r>
      <w:r>
        <w:t>Ů</w:t>
      </w:r>
      <w:r w:rsidRPr="00375A49">
        <w:t xml:space="preserve"> M3-M5 V HODNOCENÍ SEGMENTU VYSOKÝCH ŠKOL</w:t>
      </w:r>
      <w:bookmarkEnd w:id="3"/>
      <w:bookmarkEnd w:id="4"/>
      <w:bookmarkEnd w:id="5"/>
    </w:p>
    <w:p w:rsidR="000F31B0" w:rsidRPr="00375A49" w:rsidRDefault="000F31B0" w:rsidP="000F31B0">
      <w:pPr>
        <w:rPr>
          <w:lang w:val="cs-CZ"/>
        </w:rPr>
      </w:pPr>
    </w:p>
    <w:p w:rsidR="000F31B0" w:rsidRPr="00375A49" w:rsidRDefault="000F31B0" w:rsidP="00EC0B12">
      <w:pPr>
        <w:pStyle w:val="Nadpis3"/>
      </w:pPr>
      <w:bookmarkStart w:id="6" w:name="_Toc6493942"/>
      <w:bookmarkStart w:id="7" w:name="_Toc7772754"/>
      <w:bookmarkStart w:id="8" w:name="_Toc11664124"/>
      <w:r w:rsidRPr="00375A49">
        <w:t>MODUL 3 SPOLEČENSKÁ RELEVANCE</w:t>
      </w:r>
      <w:bookmarkEnd w:id="6"/>
      <w:bookmarkEnd w:id="7"/>
      <w:bookmarkEnd w:id="8"/>
      <w:r w:rsidRPr="00375A49">
        <w:t xml:space="preserve"> 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Modul M3 je rozdělen do 6 klastrů, které zahrnují celkem 12 konkrétních hodnoticích kritérií.</w:t>
      </w:r>
    </w:p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SPOLEČENSKÁ RELEVANCE / SPOLEČENSKÝ PŘÍNOS HODNOCENÉ </w:t>
      </w:r>
      <w:r>
        <w:rPr>
          <w:rFonts w:cstheme="minorHAnsi"/>
          <w:b/>
          <w:lang w:val="cs-CZ"/>
        </w:rPr>
        <w:t>JEDNOTK</w:t>
      </w:r>
      <w:r w:rsidRPr="00375A49">
        <w:rPr>
          <w:rFonts w:cstheme="minorHAnsi"/>
          <w:b/>
          <w:lang w:val="cs-CZ"/>
        </w:rPr>
        <w:t>Y</w:t>
      </w:r>
      <w:r w:rsidR="004A3AA4">
        <w:rPr>
          <w:rStyle w:val="Znakapoznpodarou"/>
          <w:rFonts w:cstheme="minorHAnsi"/>
          <w:b/>
          <w:lang w:val="cs-CZ"/>
        </w:rPr>
        <w:footnoteReference w:id="1"/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3.1 </w:t>
      </w:r>
      <w:r w:rsidR="00BF0334" w:rsidRPr="00BF0334">
        <w:rPr>
          <w:rFonts w:cstheme="minorHAnsi"/>
          <w:lang w:val="cs-CZ"/>
        </w:rPr>
        <w:t xml:space="preserve">Obecná sebereflexe společenského přínosu </w:t>
      </w:r>
      <w:r w:rsidR="005709BA">
        <w:rPr>
          <w:rFonts w:cstheme="minorHAnsi"/>
          <w:lang w:val="cs-CZ"/>
        </w:rPr>
        <w:t>výzkumu, experimentálního vývoje a inovací (dále jen „</w:t>
      </w:r>
      <w:r w:rsidR="00E7090D">
        <w:rPr>
          <w:rFonts w:cstheme="minorHAnsi"/>
          <w:lang w:val="cs-CZ"/>
        </w:rPr>
        <w:t>VaVaI</w:t>
      </w:r>
      <w:r w:rsidR="005709BA">
        <w:rPr>
          <w:rFonts w:cstheme="minorHAnsi"/>
          <w:lang w:val="cs-CZ"/>
        </w:rPr>
        <w:t>“)</w:t>
      </w:r>
      <w:r w:rsidR="00BF0334" w:rsidRPr="00BF0334">
        <w:rPr>
          <w:rFonts w:cstheme="minorHAnsi"/>
          <w:lang w:val="cs-CZ"/>
        </w:rPr>
        <w:t xml:space="preserve"> v oborech rozv</w:t>
      </w:r>
      <w:r w:rsidR="00E7090D">
        <w:rPr>
          <w:rFonts w:cstheme="minorHAnsi"/>
          <w:lang w:val="cs-CZ"/>
        </w:rPr>
        <w:t>íjených na hodnocené jednotce a </w:t>
      </w:r>
      <w:r w:rsidR="00BF0334" w:rsidRPr="00BF0334">
        <w:rPr>
          <w:rFonts w:cstheme="minorHAnsi"/>
          <w:lang w:val="cs-CZ"/>
        </w:rPr>
        <w:t>hodnocené jednotky jako celku</w:t>
      </w:r>
    </w:p>
    <w:p w:rsidR="000F31B0" w:rsidRPr="00375A49" w:rsidRDefault="000F31B0" w:rsidP="000F31B0">
      <w:pPr>
        <w:ind w:left="360"/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PROJEKTY APLIKOVANÉHO VÝZKUMU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3.2 Pro</w:t>
      </w:r>
      <w:r w:rsidR="005709BA">
        <w:rPr>
          <w:rFonts w:cstheme="minorHAnsi"/>
          <w:lang w:val="cs-CZ"/>
        </w:rPr>
        <w:t xml:space="preserve">jekty aplikovaného výzkumu </w:t>
      </w:r>
    </w:p>
    <w:p w:rsidR="000F31B0" w:rsidRPr="00375A49" w:rsidRDefault="004F357A" w:rsidP="000F31B0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3.3 Smluvní výzkum</w:t>
      </w:r>
      <w:r w:rsidR="000F31B0" w:rsidRPr="00375A49">
        <w:rPr>
          <w:rFonts w:cstheme="minorHAnsi"/>
          <w:lang w:val="cs-CZ"/>
        </w:rPr>
        <w:tab/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3.4 Výnosy z neveřejných zdrojů (mimo smluvní výzkum) získaných výzkumnou činností 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VÝSLEDK</w:t>
      </w:r>
      <w:r w:rsidR="00391180">
        <w:rPr>
          <w:rFonts w:cstheme="minorHAnsi"/>
          <w:b/>
          <w:lang w:val="cs-CZ"/>
        </w:rPr>
        <w:t>Y APLIKOVANÉHO VÝZKUMU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3.5 Výsledky aplikovaného výzkumu</w:t>
      </w:r>
      <w:r w:rsidR="005709BA">
        <w:rPr>
          <w:rFonts w:cstheme="minorHAnsi"/>
          <w:lang w:val="cs-CZ"/>
        </w:rPr>
        <w:t xml:space="preserve"> </w:t>
      </w:r>
      <w:r w:rsidRPr="00375A49">
        <w:rPr>
          <w:rFonts w:cstheme="minorHAnsi"/>
          <w:lang w:val="cs-CZ"/>
        </w:rPr>
        <w:t xml:space="preserve">s existujícím nebo perspektivním ekonomickým dopadem na společnost 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3.6 Významné výsledky aplikovaného výzkumu</w:t>
      </w:r>
      <w:r w:rsidR="005709BA">
        <w:rPr>
          <w:rFonts w:cstheme="minorHAnsi"/>
          <w:lang w:val="cs-CZ"/>
        </w:rPr>
        <w:t xml:space="preserve"> </w:t>
      </w:r>
      <w:r w:rsidRPr="00375A49">
        <w:rPr>
          <w:rFonts w:cstheme="minorHAnsi"/>
          <w:lang w:val="cs-CZ"/>
        </w:rPr>
        <w:t xml:space="preserve">s jiným než ekonomickým dopadem na společnost </w:t>
      </w: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SPOLUPRÁCE S MIMOAKADEMICKÝM PROSTŘEDÍM A TRANSFER TECHNOLOGIÍ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3.7 </w:t>
      </w:r>
      <w:r w:rsidR="0063469B">
        <w:rPr>
          <w:rFonts w:cstheme="minorHAnsi"/>
          <w:lang w:val="cs-CZ"/>
        </w:rPr>
        <w:t>N</w:t>
      </w:r>
      <w:r w:rsidRPr="00375A49">
        <w:rPr>
          <w:rFonts w:cstheme="minorHAnsi"/>
          <w:lang w:val="cs-CZ"/>
        </w:rPr>
        <w:t>ejvýznamnější</w:t>
      </w:r>
      <w:r w:rsidR="001C2A4C">
        <w:rPr>
          <w:rFonts w:cstheme="minorHAnsi"/>
          <w:lang w:val="cs-CZ"/>
        </w:rPr>
        <w:t xml:space="preserve"> interakc</w:t>
      </w:r>
      <w:r w:rsidR="0063469B">
        <w:rPr>
          <w:rFonts w:cstheme="minorHAnsi"/>
          <w:lang w:val="cs-CZ"/>
        </w:rPr>
        <w:t>e</w:t>
      </w:r>
      <w:r w:rsidR="001C2A4C">
        <w:rPr>
          <w:rFonts w:cstheme="minorHAnsi"/>
          <w:lang w:val="cs-CZ"/>
        </w:rPr>
        <w:t xml:space="preserve"> </w:t>
      </w:r>
      <w:r w:rsidR="001C2A4C" w:rsidRPr="00E8344D">
        <w:rPr>
          <w:rFonts w:cstheme="minorHAnsi"/>
          <w:lang w:val="cs-CZ"/>
        </w:rPr>
        <w:t>hodnocené jednotky</w:t>
      </w:r>
      <w:r w:rsidRPr="00375A49">
        <w:rPr>
          <w:rFonts w:cstheme="minorHAnsi"/>
          <w:lang w:val="cs-CZ"/>
        </w:rPr>
        <w:t xml:space="preserve"> s mimouniverzitní aplikační/firemní sférou 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3.8 Systém a podpora transferu technologií a ochrany duševního vlastnictví</w:t>
      </w:r>
      <w:r w:rsidR="005A7BE0">
        <w:rPr>
          <w:rFonts w:cstheme="minorHAnsi"/>
          <w:lang w:val="cs-CZ"/>
        </w:rPr>
        <w:t xml:space="preserve"> </w:t>
      </w:r>
      <w:r w:rsidR="004F357A" w:rsidRPr="004F357A">
        <w:rPr>
          <w:rFonts w:cstheme="minorHAnsi"/>
          <w:lang w:val="cs-CZ"/>
        </w:rPr>
        <w:t xml:space="preserve">(lze vztáhnout k celé </w:t>
      </w:r>
      <w:r w:rsidR="005709BA">
        <w:rPr>
          <w:rFonts w:cstheme="minorHAnsi"/>
          <w:lang w:val="cs-CZ"/>
        </w:rPr>
        <w:t>vysoké škole</w:t>
      </w:r>
      <w:r w:rsidR="004F357A" w:rsidRPr="004F357A">
        <w:rPr>
          <w:rFonts w:cstheme="minorHAnsi"/>
          <w:lang w:val="cs-CZ"/>
        </w:rPr>
        <w:t xml:space="preserve"> se zdůrazněním specifik hodnocené jednotky)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3.9 </w:t>
      </w:r>
      <w:r w:rsidR="004F357A" w:rsidRPr="004F357A">
        <w:rPr>
          <w:rFonts w:cstheme="minorHAnsi"/>
          <w:lang w:val="cs-CZ"/>
        </w:rPr>
        <w:t>Strategie zakládání a podpora spin-off firem nebo jin</w:t>
      </w:r>
      <w:r w:rsidR="005A7BE0">
        <w:rPr>
          <w:rFonts w:cstheme="minorHAnsi"/>
          <w:lang w:val="cs-CZ"/>
        </w:rPr>
        <w:t>ých forem</w:t>
      </w:r>
      <w:r w:rsidR="004F357A" w:rsidRPr="004F357A">
        <w:rPr>
          <w:rFonts w:cstheme="minorHAnsi"/>
          <w:lang w:val="cs-CZ"/>
        </w:rPr>
        <w:t xml:space="preserve"> komercionalizace výsledků </w:t>
      </w:r>
      <w:r w:rsidR="005709BA">
        <w:rPr>
          <w:rFonts w:cstheme="minorHAnsi"/>
          <w:lang w:val="cs-CZ"/>
        </w:rPr>
        <w:t>VaVaI</w:t>
      </w:r>
      <w:r w:rsidR="004F357A" w:rsidRPr="004F357A">
        <w:rPr>
          <w:rFonts w:cstheme="minorHAnsi"/>
          <w:lang w:val="cs-CZ"/>
        </w:rPr>
        <w:t xml:space="preserve"> (lze vztáhnout k celé </w:t>
      </w:r>
      <w:r w:rsidR="005709BA">
        <w:rPr>
          <w:rFonts w:cstheme="minorHAnsi"/>
          <w:lang w:val="cs-CZ"/>
        </w:rPr>
        <w:t>vysoké škole</w:t>
      </w:r>
      <w:r w:rsidR="004F357A" w:rsidRPr="004F357A">
        <w:rPr>
          <w:rFonts w:cstheme="minorHAnsi"/>
          <w:lang w:val="cs-CZ"/>
        </w:rPr>
        <w:t xml:space="preserve"> se zdůrazněním specifik hodnocené jednotky)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UZNÁNÍ VÝZKUMNOU KOMUNITOU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3.10 </w:t>
      </w:r>
      <w:r w:rsidR="0063469B">
        <w:rPr>
          <w:rFonts w:cstheme="minorHAnsi"/>
          <w:lang w:val="cs-CZ"/>
        </w:rPr>
        <w:t>N</w:t>
      </w:r>
      <w:r w:rsidRPr="00375A49">
        <w:rPr>
          <w:rFonts w:cstheme="minorHAnsi"/>
          <w:lang w:val="cs-CZ"/>
        </w:rPr>
        <w:t xml:space="preserve">ejvýznamnější individuální ocenění za </w:t>
      </w:r>
      <w:r w:rsidR="005709BA">
        <w:rPr>
          <w:rFonts w:cstheme="minorHAnsi"/>
          <w:lang w:val="cs-CZ"/>
        </w:rPr>
        <w:t>VaVaI</w:t>
      </w: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lang w:val="cs-CZ"/>
        </w:rPr>
        <w:t xml:space="preserve">3.11 Uznání mezinárodní komunitou v oblasti </w:t>
      </w:r>
      <w:r w:rsidR="005709BA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(volená členství v odborných společnostech, účast v edičních radách mezinárodních vědeckých časopisů, zvané přednášky na zahraničních institucích atd.)</w:t>
      </w:r>
    </w:p>
    <w:p w:rsidR="000F31B0" w:rsidRPr="00375A49" w:rsidRDefault="000F31B0" w:rsidP="000F31B0">
      <w:pPr>
        <w:ind w:left="360"/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POPULARIZACE </w:t>
      </w:r>
      <w:r w:rsidR="00C858D4">
        <w:rPr>
          <w:rFonts w:cstheme="minorHAnsi"/>
          <w:b/>
          <w:lang w:val="cs-CZ"/>
        </w:rPr>
        <w:t>VAVA</w:t>
      </w:r>
      <w:r w:rsidR="00F229AA">
        <w:rPr>
          <w:rFonts w:cstheme="minorHAnsi"/>
          <w:b/>
          <w:lang w:val="cs-CZ"/>
        </w:rPr>
        <w:t>I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3.12 </w:t>
      </w:r>
      <w:r w:rsidR="0063469B">
        <w:rPr>
          <w:rFonts w:cstheme="minorHAnsi"/>
          <w:lang w:val="cs-CZ"/>
        </w:rPr>
        <w:t>N</w:t>
      </w:r>
      <w:r w:rsidRPr="00375A49">
        <w:rPr>
          <w:rFonts w:cstheme="minorHAnsi"/>
          <w:lang w:val="cs-CZ"/>
        </w:rPr>
        <w:t>ejvýznamnější aktivit</w:t>
      </w:r>
      <w:r w:rsidR="0063469B">
        <w:rPr>
          <w:rFonts w:cstheme="minorHAnsi"/>
          <w:lang w:val="cs-CZ"/>
        </w:rPr>
        <w:t>y</w:t>
      </w:r>
      <w:r w:rsidRPr="00375A49">
        <w:rPr>
          <w:rFonts w:cstheme="minorHAnsi"/>
          <w:lang w:val="cs-CZ"/>
        </w:rPr>
        <w:t xml:space="preserve"> v oblasti popularizace </w:t>
      </w:r>
      <w:r w:rsidR="005709BA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a komunikace s veřejností </w:t>
      </w:r>
    </w:p>
    <w:p w:rsidR="000F31B0" w:rsidRPr="00375A49" w:rsidRDefault="000F31B0" w:rsidP="000F31B0">
      <w:pPr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br w:type="page"/>
      </w:r>
    </w:p>
    <w:p w:rsidR="000F31B0" w:rsidRPr="00375A49" w:rsidRDefault="000F31B0" w:rsidP="00EC0B12">
      <w:pPr>
        <w:pStyle w:val="Nadpis3"/>
      </w:pPr>
      <w:bookmarkStart w:id="9" w:name="_Toc6493943"/>
      <w:bookmarkStart w:id="10" w:name="_Toc7772755"/>
      <w:bookmarkStart w:id="11" w:name="_Toc11664125"/>
      <w:r w:rsidRPr="00375A49">
        <w:lastRenderedPageBreak/>
        <w:t>MODUL 4 VIABILITA</w:t>
      </w:r>
      <w:bookmarkEnd w:id="9"/>
      <w:bookmarkEnd w:id="10"/>
      <w:bookmarkEnd w:id="11"/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Cs/>
          <w:kern w:val="1"/>
          <w:lang w:val="cs-CZ"/>
        </w:rPr>
      </w:pPr>
      <w:r w:rsidRPr="00375A49">
        <w:rPr>
          <w:rFonts w:cstheme="minorHAnsi"/>
          <w:bCs/>
          <w:kern w:val="1"/>
          <w:lang w:val="cs-CZ"/>
        </w:rPr>
        <w:t>Modul M4 je rozdělen do 8 klastrů, které zahrnují celkem 28 konkrétních hodnoticích kritérií.</w:t>
      </w: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ORGANIZACE, ŘÍZENÍ A PODPORA </w:t>
      </w:r>
      <w:r w:rsidR="005709BA">
        <w:rPr>
          <w:rFonts w:cstheme="minorHAnsi"/>
          <w:b/>
          <w:lang w:val="cs-CZ"/>
        </w:rPr>
        <w:t>V</w:t>
      </w:r>
      <w:r w:rsidR="00C575B9">
        <w:rPr>
          <w:rFonts w:cstheme="minorHAnsi"/>
          <w:b/>
          <w:lang w:val="cs-CZ"/>
        </w:rPr>
        <w:t>A</w:t>
      </w:r>
      <w:r w:rsidR="005709BA">
        <w:rPr>
          <w:rFonts w:cstheme="minorHAnsi"/>
          <w:b/>
          <w:lang w:val="cs-CZ"/>
        </w:rPr>
        <w:t>V</w:t>
      </w:r>
      <w:r w:rsidR="00C575B9">
        <w:rPr>
          <w:rFonts w:cstheme="minorHAnsi"/>
          <w:b/>
          <w:lang w:val="cs-CZ"/>
        </w:rPr>
        <w:t>A</w:t>
      </w:r>
      <w:r w:rsidR="005709BA">
        <w:rPr>
          <w:rFonts w:cstheme="minorHAnsi"/>
          <w:b/>
          <w:lang w:val="cs-CZ"/>
        </w:rPr>
        <w:t>I</w:t>
      </w:r>
      <w:r w:rsidRPr="00375A49">
        <w:rPr>
          <w:rFonts w:cstheme="minorHAnsi"/>
          <w:b/>
          <w:lang w:val="cs-CZ"/>
        </w:rPr>
        <w:t xml:space="preserve"> 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4.1 Organizace a řízení </w:t>
      </w:r>
      <w:r w:rsidR="005709BA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4.2 Systém podpory </w:t>
      </w:r>
      <w:r w:rsidR="005709BA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a s</w:t>
      </w:r>
      <w:r w:rsidR="00342011">
        <w:rPr>
          <w:rFonts w:cstheme="minorHAnsi"/>
          <w:lang w:val="cs-CZ"/>
        </w:rPr>
        <w:t>timulační opatření pro kvalitní</w:t>
      </w:r>
      <w:r w:rsidRPr="00375A49">
        <w:rPr>
          <w:rFonts w:cstheme="minorHAnsi"/>
          <w:lang w:val="cs-CZ"/>
        </w:rPr>
        <w:t xml:space="preserve"> vědu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4.3 Institucionální pravidla využit</w:t>
      </w:r>
      <w:r w:rsidR="002415C8">
        <w:rPr>
          <w:rFonts w:cstheme="minorHAnsi"/>
          <w:lang w:val="cs-CZ"/>
        </w:rPr>
        <w:t>í institucionální podpory na dlouhodobý koncepční rozvoj výzkumné organizace</w:t>
      </w:r>
      <w:r w:rsidR="00B64D29">
        <w:rPr>
          <w:rFonts w:cstheme="minorHAnsi"/>
          <w:lang w:val="cs-CZ"/>
        </w:rPr>
        <w:t xml:space="preserve"> (dále jen „DKRVO“)</w:t>
      </w:r>
    </w:p>
    <w:p w:rsidR="000F31B0" w:rsidRPr="00375A49" w:rsidRDefault="00EE28A6" w:rsidP="000F31B0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4.4 </w:t>
      </w:r>
      <w:r w:rsidRPr="00EE28A6">
        <w:rPr>
          <w:rFonts w:cstheme="minorHAnsi"/>
          <w:lang w:val="cs-CZ"/>
        </w:rPr>
        <w:t>Strategie zakládání, financování a dlouhodobého rozvoje a ud</w:t>
      </w:r>
      <w:r w:rsidR="005709BA">
        <w:rPr>
          <w:rFonts w:cstheme="minorHAnsi"/>
          <w:lang w:val="cs-CZ"/>
        </w:rPr>
        <w:t>ržitelnosti výzkumných center a </w:t>
      </w:r>
      <w:r w:rsidRPr="00EE28A6">
        <w:rPr>
          <w:rFonts w:cstheme="minorHAnsi"/>
          <w:lang w:val="cs-CZ"/>
        </w:rPr>
        <w:t>velkých výzkumných infrastruktur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4.5 Systém vzdělávání v oblasti ochrany duševního vlastnictví a transferu technologií</w:t>
      </w:r>
    </w:p>
    <w:p w:rsidR="000F31B0" w:rsidRPr="00375A49" w:rsidRDefault="000F31B0" w:rsidP="000F31B0">
      <w:pPr>
        <w:ind w:left="1440"/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D</w:t>
      </w:r>
      <w:r w:rsidR="008C690E">
        <w:rPr>
          <w:rFonts w:cstheme="minorHAnsi"/>
          <w:b/>
          <w:lang w:val="cs-CZ"/>
        </w:rPr>
        <w:t>OKTORSKÉ</w:t>
      </w:r>
      <w:r w:rsidRPr="00375A49">
        <w:rPr>
          <w:rFonts w:cstheme="minorHAnsi"/>
          <w:b/>
          <w:lang w:val="cs-CZ"/>
        </w:rPr>
        <w:t xml:space="preserve"> STUDIUM 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4.6 Organizace doktorského studia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4.7 Internacionalizace doktorského studia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4.8 Navazující kariéry absolventů doktorského studia (podmínky podpory)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4.9 Pravidla financování doktorských studentů, včetně zahraničních (stimulační a motivační nástroje)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NÁRODNÍ A MEZINÁRODNÍ SPOLUPRÁCE A MOBILITA VE </w:t>
      </w:r>
      <w:r w:rsidR="00C575B9" w:rsidRPr="00C575B9">
        <w:rPr>
          <w:rFonts w:cstheme="minorHAnsi"/>
          <w:b/>
          <w:lang w:val="cs-CZ"/>
        </w:rPr>
        <w:t>VAVAI</w:t>
      </w:r>
      <w:r w:rsidRPr="00375A49">
        <w:rPr>
          <w:rFonts w:cstheme="minorHAnsi"/>
          <w:b/>
          <w:lang w:val="cs-CZ"/>
        </w:rPr>
        <w:t xml:space="preserve"> 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4.10 Významné spolupráce ve </w:t>
      </w:r>
      <w:r w:rsidR="005709BA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na národní úrovni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4.11 Významné spolupráce ve </w:t>
      </w:r>
      <w:r w:rsidR="005709BA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na mezinárodní úrovni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4.12 Mobilita akademických a výzkumných pracovníků (vč. sektorové a mezisektorové mobility)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4.13 Internacionalizace vnitřního prostředí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       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b/>
          <w:lang w:val="cs-CZ"/>
        </w:rPr>
        <w:t xml:space="preserve">LIDSKÉ ZDROJE A KARIÉRA VE </w:t>
      </w:r>
      <w:r w:rsidR="00C575B9" w:rsidRPr="00C575B9">
        <w:rPr>
          <w:rFonts w:cstheme="minorHAnsi"/>
          <w:b/>
          <w:lang w:val="cs-CZ"/>
        </w:rPr>
        <w:t>VAVAI</w:t>
      </w:r>
      <w:r w:rsidRPr="00375A49">
        <w:rPr>
          <w:rFonts w:cstheme="minorHAnsi"/>
          <w:b/>
          <w:lang w:val="cs-CZ"/>
        </w:rPr>
        <w:t xml:space="preserve"> 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4.14 Systém kariérního růstu akademických a výzkumných pracovníků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4.15 Systém hodnocení akademických a výzkumných pracovníků a obsazování klíčových pozic ve </w:t>
      </w:r>
      <w:r w:rsidR="005709BA">
        <w:rPr>
          <w:rFonts w:cstheme="minorHAnsi"/>
          <w:lang w:val="cs-CZ"/>
        </w:rPr>
        <w:t>VaVaI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4.16 Systém náboru výzkumných a akademických pracovníků z externího prostředí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4.17 Struktura lidských zdrojů 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4.18 Opatření tý</w:t>
      </w:r>
      <w:r w:rsidR="00FA770B">
        <w:rPr>
          <w:rFonts w:cstheme="minorHAnsi"/>
          <w:lang w:val="cs-CZ"/>
        </w:rPr>
        <w:t>kající se genderové rovnosti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FINANČNÍ ZDROJE PRO </w:t>
      </w:r>
      <w:r w:rsidR="00C575B9" w:rsidRPr="00C575B9">
        <w:rPr>
          <w:rFonts w:cstheme="minorHAnsi"/>
          <w:b/>
          <w:lang w:val="cs-CZ"/>
        </w:rPr>
        <w:t>VAVAI</w:t>
      </w:r>
      <w:r w:rsidRPr="00375A49">
        <w:rPr>
          <w:rFonts w:cstheme="minorHAnsi"/>
          <w:b/>
          <w:lang w:val="cs-CZ"/>
        </w:rPr>
        <w:t xml:space="preserve"> </w:t>
      </w:r>
    </w:p>
    <w:p w:rsidR="000F31B0" w:rsidRPr="00375A49" w:rsidRDefault="00586632" w:rsidP="000F31B0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4.19 </w:t>
      </w:r>
      <w:r w:rsidRPr="00586632">
        <w:rPr>
          <w:rFonts w:cstheme="minorHAnsi"/>
          <w:lang w:val="cs-CZ"/>
        </w:rPr>
        <w:t xml:space="preserve">Struktura finančních zdrojů pro </w:t>
      </w:r>
      <w:r w:rsidR="005709BA">
        <w:rPr>
          <w:rFonts w:cstheme="minorHAnsi"/>
          <w:lang w:val="cs-CZ"/>
        </w:rPr>
        <w:t>VaVaI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4.20 Podpora získávání zahraničních výzkumných projektů (vč. strategie k získávání prestižních zahraničních finančních zdrojů pro </w:t>
      </w:r>
      <w:r w:rsidR="005709BA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>)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FORMATIVNÍ HODNOCENÍ </w:t>
      </w:r>
      <w:r w:rsidR="00C575B9" w:rsidRPr="00C575B9">
        <w:rPr>
          <w:rFonts w:cstheme="minorHAnsi"/>
          <w:b/>
          <w:lang w:val="cs-CZ"/>
        </w:rPr>
        <w:t>VAVAI</w:t>
      </w:r>
      <w:r w:rsidRPr="00375A49">
        <w:rPr>
          <w:rFonts w:cstheme="minorHAnsi"/>
          <w:b/>
          <w:lang w:val="cs-CZ"/>
        </w:rPr>
        <w:t xml:space="preserve"> A START-UP STRATEG</w:t>
      </w:r>
      <w:r w:rsidR="006C6E4F">
        <w:rPr>
          <w:rFonts w:cstheme="minorHAnsi"/>
          <w:b/>
          <w:lang w:val="cs-CZ"/>
        </w:rPr>
        <w:t>IE</w:t>
      </w:r>
      <w:r w:rsidRPr="00375A49">
        <w:rPr>
          <w:rFonts w:cstheme="minorHAnsi"/>
          <w:b/>
          <w:lang w:val="cs-CZ"/>
        </w:rPr>
        <w:t xml:space="preserve"> (S APLIKAČNÍM POTENCIÁLEM) 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4.21 Interní a externí systém hodnocení výzkumných jednotek (skupin, týmů, kateder, ústavů)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4.22 Podmínky vzniku nových týmů a zavádění nových výzkumných témat (tzv. start-up strategy)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4.23 </w:t>
      </w:r>
      <w:r w:rsidR="00306319" w:rsidRPr="00306319">
        <w:rPr>
          <w:rFonts w:cstheme="minorHAnsi"/>
          <w:lang w:val="cs-CZ"/>
        </w:rPr>
        <w:t xml:space="preserve">Externí poradní orgány pro </w:t>
      </w:r>
      <w:r w:rsidR="005709BA">
        <w:rPr>
          <w:rFonts w:cstheme="minorHAnsi"/>
          <w:lang w:val="cs-CZ"/>
        </w:rPr>
        <w:t>VaVaI, nezávislá zpětná vazba pro VaVaI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VÝZKUMNÁ INFRASTRUKTURA 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4.24 Systém pořizování a obnovy přístrojů a vybavení pro </w:t>
      </w:r>
      <w:r w:rsidR="00A338EE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4.25 Systém sdílení přístrojů a vybavení pro </w:t>
      </w:r>
      <w:r w:rsidR="00A338EE">
        <w:rPr>
          <w:rFonts w:cstheme="minorHAnsi"/>
          <w:lang w:val="cs-CZ"/>
        </w:rPr>
        <w:t>VaVaI</w:t>
      </w:r>
    </w:p>
    <w:p w:rsidR="000F31B0" w:rsidRPr="00375A49" w:rsidRDefault="000F31B0" w:rsidP="000F31B0">
      <w:pPr>
        <w:ind w:left="360"/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b/>
          <w:lang w:val="cs-CZ"/>
        </w:rPr>
        <w:t xml:space="preserve">DOBRÁ PRAXE VE </w:t>
      </w:r>
      <w:r w:rsidR="00C575B9" w:rsidRPr="00C575B9">
        <w:rPr>
          <w:rFonts w:cstheme="minorHAnsi"/>
          <w:b/>
          <w:lang w:val="cs-CZ"/>
        </w:rPr>
        <w:t>VAVAI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4.26 Vnitřní pravidla a opatření pro udržování dobré praxe ve </w:t>
      </w:r>
      <w:r w:rsidR="00A338EE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(např. Code of Conduct for Research Integrity, Ethical Issues)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lastRenderedPageBreak/>
        <w:t>4.27 Strategie otevřeného přístupu k informacím z </w:t>
      </w:r>
      <w:r w:rsidR="00A338EE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(Open Access)</w:t>
      </w:r>
    </w:p>
    <w:p w:rsidR="000F31B0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4.28 Strategie správy výzkumných dat (Data Management)</w:t>
      </w:r>
    </w:p>
    <w:p w:rsidR="00697281" w:rsidRPr="00375A49" w:rsidRDefault="00697281" w:rsidP="000F31B0">
      <w:pPr>
        <w:jc w:val="both"/>
        <w:rPr>
          <w:rFonts w:cstheme="minorHAnsi"/>
          <w:lang w:val="cs-CZ"/>
        </w:rPr>
      </w:pPr>
    </w:p>
    <w:p w:rsidR="000F31B0" w:rsidRPr="00375A49" w:rsidRDefault="000F31B0" w:rsidP="00EC0B12">
      <w:pPr>
        <w:pStyle w:val="Nadpis3"/>
      </w:pPr>
      <w:bookmarkStart w:id="12" w:name="_Toc6493944"/>
      <w:bookmarkStart w:id="13" w:name="_Toc7772756"/>
      <w:bookmarkStart w:id="14" w:name="_Toc11664126"/>
      <w:r w:rsidRPr="00375A49">
        <w:t>MODUL 5 STRATEGIE A KONCEPCE</w:t>
      </w:r>
      <w:bookmarkEnd w:id="12"/>
      <w:bookmarkEnd w:id="13"/>
      <w:bookmarkEnd w:id="14"/>
    </w:p>
    <w:p w:rsidR="000F31B0" w:rsidRPr="00375A49" w:rsidRDefault="000F31B0" w:rsidP="000F31B0">
      <w:pPr>
        <w:spacing w:line="240" w:lineRule="atLeast"/>
        <w:contextualSpacing/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spacing w:line="240" w:lineRule="atLeast"/>
        <w:contextualSpacing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Modul M5 je rozdělen do 4 klastrů, které zahrnují celkem 5 konkrétních hodnoticích kritérií:</w:t>
      </w: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MISE A VIZE VE </w:t>
      </w:r>
      <w:r w:rsidR="00C575B9" w:rsidRPr="00C575B9">
        <w:rPr>
          <w:rFonts w:cstheme="minorHAnsi"/>
          <w:b/>
          <w:lang w:val="cs-CZ"/>
        </w:rPr>
        <w:t>VAVAI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5.1 Mise a vize hodnocené instituce ve </w:t>
      </w:r>
      <w:r w:rsidR="00A338EE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</w:t>
      </w: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CÍLE A STRATEGIE </w:t>
      </w:r>
      <w:r w:rsidR="00C575B9" w:rsidRPr="00C575B9">
        <w:rPr>
          <w:rFonts w:cstheme="minorHAnsi"/>
          <w:b/>
          <w:lang w:val="cs-CZ"/>
        </w:rPr>
        <w:t>VAVAI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5.2 Výzkumné cíle a strategie pro období do dalšího hodnocení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NÁRODNÍ A MEZINÁRODNÍ KONTEXT </w:t>
      </w:r>
      <w:r w:rsidR="00C575B9" w:rsidRPr="00C575B9">
        <w:rPr>
          <w:rFonts w:cstheme="minorHAnsi"/>
          <w:b/>
          <w:lang w:val="cs-CZ"/>
        </w:rPr>
        <w:t>VAVAI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5.3 Vazba na plnění vyšších národních a nadnárodních strategických cílů a opatření v oblasti </w:t>
      </w:r>
      <w:r w:rsidR="00A338EE">
        <w:rPr>
          <w:rFonts w:cstheme="minorHAnsi"/>
          <w:lang w:val="cs-CZ"/>
        </w:rPr>
        <w:t>VaVaI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5.4 </w:t>
      </w:r>
      <w:r w:rsidR="00D651A6" w:rsidRPr="00D651A6">
        <w:rPr>
          <w:rFonts w:cstheme="minorHAnsi"/>
          <w:lang w:val="cs-CZ"/>
        </w:rPr>
        <w:t>Strategie a nástroje strategického řízení pro zvyšování mezinárodní nebo oborové konkurenceschopnosti výzkumné činnosti vysoké školy a její kvality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NÁSTROJE PRO NAPLŇOVÁNÍ VÝZKUMNÉ STRATEGIE</w:t>
      </w: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5.5 Institucionální nástroje pro naplňování výzkumné strategie s důrazem na podporu kvalitního </w:t>
      </w:r>
      <w:r w:rsidR="00A338EE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a inovativního prostředí</w:t>
      </w:r>
    </w:p>
    <w:p w:rsidR="000F31B0" w:rsidRPr="00375A49" w:rsidRDefault="000F31B0" w:rsidP="000F31B0">
      <w:pPr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br w:type="page"/>
      </w:r>
    </w:p>
    <w:p w:rsidR="000F31B0" w:rsidRPr="004302E7" w:rsidRDefault="000F31B0" w:rsidP="004302E7">
      <w:pPr>
        <w:pStyle w:val="Nadpis1"/>
      </w:pPr>
      <w:bookmarkStart w:id="15" w:name="_Toc6493945"/>
      <w:bookmarkStart w:id="16" w:name="_Toc7772757"/>
      <w:bookmarkStart w:id="17" w:name="_Toc11664127"/>
      <w:r>
        <w:lastRenderedPageBreak/>
        <w:t>ČÁST I</w:t>
      </w:r>
      <w:r w:rsidRPr="00375A49">
        <w:t>I</w:t>
      </w:r>
      <w:bookmarkEnd w:id="15"/>
      <w:bookmarkEnd w:id="16"/>
      <w:bookmarkEnd w:id="17"/>
    </w:p>
    <w:p w:rsidR="000F31B0" w:rsidRPr="00EB12A1" w:rsidRDefault="000F31B0" w:rsidP="000F31B0">
      <w:pPr>
        <w:pStyle w:val="Odstavecseseznamem"/>
        <w:keepNext/>
        <w:keepLines/>
        <w:numPr>
          <w:ilvl w:val="0"/>
          <w:numId w:val="14"/>
        </w:numPr>
        <w:spacing w:before="200" w:line="276" w:lineRule="auto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26"/>
          <w:lang w:val="cs-CZ"/>
        </w:rPr>
      </w:pPr>
      <w:bookmarkStart w:id="18" w:name="_Toc6492907"/>
      <w:bookmarkStart w:id="19" w:name="_Toc6492990"/>
      <w:bookmarkStart w:id="20" w:name="_Toc6493574"/>
      <w:bookmarkStart w:id="21" w:name="_Toc6493785"/>
      <w:bookmarkStart w:id="22" w:name="_Toc6493946"/>
      <w:bookmarkStart w:id="23" w:name="_Toc7771962"/>
      <w:bookmarkStart w:id="24" w:name="_Toc7772000"/>
      <w:bookmarkStart w:id="25" w:name="_Toc7772758"/>
      <w:bookmarkStart w:id="26" w:name="_Toc7772796"/>
      <w:bookmarkStart w:id="27" w:name="_Toc7772866"/>
      <w:bookmarkStart w:id="28" w:name="_Toc7773333"/>
      <w:bookmarkStart w:id="29" w:name="_Toc7773372"/>
      <w:bookmarkStart w:id="30" w:name="_Toc9403999"/>
      <w:bookmarkStart w:id="31" w:name="_Toc9404497"/>
      <w:bookmarkStart w:id="32" w:name="_Toc9404709"/>
      <w:bookmarkStart w:id="33" w:name="_Toc9420171"/>
      <w:bookmarkStart w:id="34" w:name="_Toc11405425"/>
      <w:bookmarkStart w:id="35" w:name="_Toc11408537"/>
      <w:bookmarkStart w:id="36" w:name="_Toc11408692"/>
      <w:bookmarkStart w:id="37" w:name="_Toc11663799"/>
      <w:bookmarkStart w:id="38" w:name="_Toc11663843"/>
      <w:bookmarkStart w:id="39" w:name="_Toc11663881"/>
      <w:bookmarkStart w:id="40" w:name="_Toc11663919"/>
      <w:bookmarkStart w:id="41" w:name="_Toc11664128"/>
      <w:bookmarkStart w:id="42" w:name="_Toc5133494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0F31B0" w:rsidRPr="00375A49" w:rsidRDefault="000F31B0" w:rsidP="000F31B0">
      <w:pPr>
        <w:pStyle w:val="Nadpis2"/>
        <w:numPr>
          <w:ilvl w:val="1"/>
          <w:numId w:val="14"/>
        </w:numPr>
      </w:pPr>
      <w:bookmarkStart w:id="43" w:name="_Toc6493947"/>
      <w:bookmarkStart w:id="44" w:name="_Toc7772759"/>
      <w:bookmarkStart w:id="45" w:name="_Toc11664129"/>
      <w:r>
        <w:t>POPIS</w:t>
      </w:r>
      <w:r w:rsidRPr="00375A49">
        <w:t xml:space="preserve"> MODULŮ M3-M5</w:t>
      </w:r>
      <w:bookmarkEnd w:id="42"/>
      <w:bookmarkEnd w:id="43"/>
      <w:r>
        <w:t xml:space="preserve"> </w:t>
      </w:r>
      <w:r w:rsidRPr="009D4286">
        <w:t>V HODNOCENÍ SEGMENTU VYSOKÝCH ŠKOL</w:t>
      </w:r>
      <w:bookmarkEnd w:id="44"/>
      <w:bookmarkEnd w:id="45"/>
    </w:p>
    <w:p w:rsidR="000F31B0" w:rsidRPr="00375A49" w:rsidRDefault="000F31B0" w:rsidP="00EC0B12">
      <w:pPr>
        <w:pStyle w:val="Nadpis3"/>
      </w:pPr>
      <w:bookmarkStart w:id="46" w:name="_Toc5133495"/>
      <w:bookmarkStart w:id="47" w:name="_Toc6493948"/>
      <w:bookmarkStart w:id="48" w:name="_Toc7772760"/>
      <w:bookmarkStart w:id="49" w:name="_Toc11664130"/>
      <w:r w:rsidRPr="00375A49">
        <w:t>MODUL 3 SPOLEČENSKÁ RELEVANCE</w:t>
      </w:r>
      <w:bookmarkEnd w:id="46"/>
      <w:bookmarkEnd w:id="47"/>
      <w:bookmarkEnd w:id="48"/>
      <w:bookmarkEnd w:id="49"/>
    </w:p>
    <w:p w:rsidR="000F31B0" w:rsidRPr="00375A49" w:rsidRDefault="000F31B0" w:rsidP="000F31B0">
      <w:pPr>
        <w:jc w:val="both"/>
        <w:rPr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Modul 3 je relevantní zejména pro vysoké školy, které provádějí aplikovaný</w:t>
      </w:r>
      <w:r w:rsidR="00A64416">
        <w:rPr>
          <w:rFonts w:cstheme="minorHAnsi"/>
          <w:lang w:val="cs-CZ"/>
        </w:rPr>
        <w:t xml:space="preserve"> </w:t>
      </w:r>
      <w:r w:rsidR="00F229AA" w:rsidRPr="00E8344D">
        <w:rPr>
          <w:rFonts w:cstheme="minorHAnsi"/>
          <w:lang w:val="cs-CZ"/>
        </w:rPr>
        <w:t>výzkum,</w:t>
      </w:r>
      <w:r w:rsidRPr="00E8344D">
        <w:rPr>
          <w:rFonts w:cstheme="minorHAnsi"/>
          <w:lang w:val="cs-CZ"/>
        </w:rPr>
        <w:t xml:space="preserve"> kter</w:t>
      </w:r>
      <w:r w:rsidR="00364D8D">
        <w:rPr>
          <w:rFonts w:cstheme="minorHAnsi"/>
          <w:lang w:val="cs-CZ"/>
        </w:rPr>
        <w:t>ý</w:t>
      </w:r>
      <w:r w:rsidRPr="00E8344D">
        <w:rPr>
          <w:rFonts w:cstheme="minorHAnsi"/>
          <w:lang w:val="cs-CZ"/>
        </w:rPr>
        <w:t xml:space="preserve"> přímo slouží uživatelům, jako jsou průmyslová odvětví, veřejný sektor nebo jiné výzkumné organizace. V rámci tohoto modulu je hodnocena míra pozitivních dopadů VaVaI a jejich výsledků na společnost a občany. Společenská relevance je vztažena k výsledkům aplikovaného výzkumu, které mají bezprostřední význam pro oblast ekonomiky, státní a veřejnou správu i pro oblast kulturní </w:t>
      </w:r>
      <w:r w:rsidR="00D651A6" w:rsidRPr="00E8344D">
        <w:rPr>
          <w:rFonts w:cstheme="minorHAnsi"/>
          <w:lang w:val="cs-CZ"/>
        </w:rPr>
        <w:t xml:space="preserve">a sociální </w:t>
      </w:r>
      <w:r w:rsidRPr="00E8344D">
        <w:rPr>
          <w:rFonts w:cstheme="minorHAnsi"/>
          <w:lang w:val="cs-CZ"/>
        </w:rPr>
        <w:t>politiky. V modulu jsou rovněž posuzovány výsledky základního výzkumu</w:t>
      </w:r>
      <w:r w:rsidR="00EF2591">
        <w:rPr>
          <w:rFonts w:cstheme="minorHAnsi"/>
          <w:lang w:val="cs-CZ"/>
        </w:rPr>
        <w:t>, které ovlivňují jednotlivce a </w:t>
      </w:r>
      <w:r w:rsidRPr="00E8344D">
        <w:rPr>
          <w:rFonts w:cstheme="minorHAnsi"/>
          <w:lang w:val="cs-CZ"/>
        </w:rPr>
        <w:t xml:space="preserve">společnost nepřímo (mají nepřímý dopad). </w:t>
      </w:r>
      <w:r w:rsidR="00D651A6" w:rsidRPr="00E8344D">
        <w:rPr>
          <w:rFonts w:cstheme="minorHAnsi"/>
          <w:lang w:val="cs-CZ"/>
        </w:rPr>
        <w:t xml:space="preserve">V hodnocení </w:t>
      </w:r>
      <w:r w:rsidRPr="00E8344D">
        <w:rPr>
          <w:rFonts w:cstheme="minorHAnsi"/>
          <w:lang w:val="cs-CZ"/>
        </w:rPr>
        <w:t>je třeb</w:t>
      </w:r>
      <w:r w:rsidR="00EF2591">
        <w:rPr>
          <w:rFonts w:cstheme="minorHAnsi"/>
          <w:lang w:val="cs-CZ"/>
        </w:rPr>
        <w:t>a zohlednit zejména relevanci a </w:t>
      </w:r>
      <w:r w:rsidRPr="00E8344D">
        <w:rPr>
          <w:rFonts w:cstheme="minorHAnsi"/>
          <w:lang w:val="cs-CZ"/>
        </w:rPr>
        <w:t xml:space="preserve">aktuální potřebu výzkumného zaměření, navrhované a použité metody a společenský význam prováděného </w:t>
      </w:r>
      <w:r w:rsidR="00F229AA" w:rsidRPr="00E8344D">
        <w:rPr>
          <w:rFonts w:cstheme="minorHAnsi"/>
          <w:lang w:val="cs-CZ"/>
        </w:rPr>
        <w:t>VaVaI</w:t>
      </w:r>
      <w:r w:rsidRPr="00E8344D">
        <w:rPr>
          <w:rFonts w:cstheme="minorHAnsi"/>
          <w:lang w:val="cs-CZ"/>
        </w:rPr>
        <w:t xml:space="preserve"> jako celku. Mezi další hodnocené oblasti modulu M3 patří: projekty aplikovaného výzkumu, spolupráce s mimoakademickým prostředím a transfer technologií, uznání vědeckou komunitou a popularizace </w:t>
      </w:r>
      <w:r w:rsidR="00F229AA" w:rsidRPr="00E8344D">
        <w:rPr>
          <w:rFonts w:cstheme="minorHAnsi"/>
          <w:lang w:val="cs-CZ"/>
        </w:rPr>
        <w:t>VaVaI</w:t>
      </w:r>
      <w:r w:rsidRPr="00E8344D">
        <w:rPr>
          <w:rFonts w:cstheme="minorHAnsi"/>
          <w:lang w:val="cs-CZ"/>
        </w:rPr>
        <w:t>. Modul M3 se tedy zabývá hodnocen</w:t>
      </w:r>
      <w:r w:rsidR="00D651A6" w:rsidRPr="00E8344D">
        <w:rPr>
          <w:rFonts w:cstheme="minorHAnsi"/>
          <w:lang w:val="cs-CZ"/>
        </w:rPr>
        <w:t xml:space="preserve">ím dopadů výsledků VaVaI a je tak </w:t>
      </w:r>
      <w:r w:rsidR="009B0A9F">
        <w:rPr>
          <w:rFonts w:cstheme="minorHAnsi"/>
          <w:lang w:val="cs-CZ"/>
        </w:rPr>
        <w:t>komplementární k modulu M1</w:t>
      </w:r>
      <w:r w:rsidRPr="00E8344D">
        <w:rPr>
          <w:rFonts w:cstheme="minorHAnsi"/>
          <w:lang w:val="cs-CZ"/>
        </w:rPr>
        <w:t>.</w:t>
      </w:r>
    </w:p>
    <w:p w:rsidR="000F31B0" w:rsidRPr="00375A49" w:rsidRDefault="000F31B0" w:rsidP="000F31B0">
      <w:pPr>
        <w:jc w:val="both"/>
        <w:rPr>
          <w:lang w:val="cs-CZ"/>
        </w:rPr>
      </w:pPr>
    </w:p>
    <w:p w:rsidR="000F31B0" w:rsidRPr="00375A49" w:rsidRDefault="000F31B0" w:rsidP="000F31B0">
      <w:pPr>
        <w:jc w:val="both"/>
        <w:rPr>
          <w:lang w:val="cs-CZ"/>
        </w:rPr>
      </w:pPr>
      <w:r w:rsidRPr="00375A49">
        <w:rPr>
          <w:lang w:val="cs-CZ"/>
        </w:rPr>
        <w:t>V</w:t>
      </w:r>
      <w:r>
        <w:rPr>
          <w:lang w:val="cs-CZ"/>
        </w:rPr>
        <w:t xml:space="preserve"> Modulu </w:t>
      </w:r>
      <w:r w:rsidRPr="00375A49">
        <w:rPr>
          <w:lang w:val="cs-CZ"/>
        </w:rPr>
        <w:t xml:space="preserve">M3 je hodnocenou jednotkou </w:t>
      </w:r>
      <w:r w:rsidR="0065787D" w:rsidRPr="0065787D">
        <w:rPr>
          <w:lang w:val="cs-CZ"/>
        </w:rPr>
        <w:t xml:space="preserve">zpravidla </w:t>
      </w:r>
      <w:r w:rsidRPr="00375A49">
        <w:rPr>
          <w:lang w:val="cs-CZ"/>
        </w:rPr>
        <w:t xml:space="preserve">fakulta nebo jiná relevantní součást vysoké školy, např. ústav (dále jen „hodnocená jednotka“) </w:t>
      </w:r>
      <w:r w:rsidRPr="00375A49">
        <w:rPr>
          <w:rFonts w:cstheme="minorHAnsi"/>
          <w:lang w:val="cs-CZ"/>
        </w:rPr>
        <w:t>podle § 22 odst. 1 zákona o vysokých školách. Vysoká</w:t>
      </w:r>
      <w:r w:rsidRPr="00375A49">
        <w:rPr>
          <w:lang w:val="cs-CZ"/>
        </w:rPr>
        <w:t xml:space="preserve"> škola zpracuje ve vztahu k</w:t>
      </w:r>
      <w:r>
        <w:rPr>
          <w:lang w:val="cs-CZ"/>
        </w:rPr>
        <w:t xml:space="preserve"> modulu </w:t>
      </w:r>
      <w:r w:rsidRPr="00375A49">
        <w:rPr>
          <w:lang w:val="cs-CZ"/>
        </w:rPr>
        <w:t xml:space="preserve">M3 sebeevaluační zprávu v rozsahu max. 20 normostran, nebo v případě vysokých škol s počtem součástí větším než 5 max. 4 normostrany textu doplněného přílohami za hodnocenou jednotku, pokud dále není stanoveno jinak. V úvodu hodnocená jednotka stručně popíše (kritérium 3.1), v čem spatřuje </w:t>
      </w:r>
      <w:r w:rsidRPr="00375A49">
        <w:rPr>
          <w:rFonts w:cstheme="minorHAnsi"/>
          <w:lang w:val="cs-CZ"/>
        </w:rPr>
        <w:t xml:space="preserve">společenský přínos </w:t>
      </w:r>
      <w:r w:rsidR="00F229AA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v oborech rozvíjených na hodnocené jednotce a </w:t>
      </w:r>
      <w:r w:rsidR="00280DDB">
        <w:rPr>
          <w:rFonts w:cstheme="minorHAnsi"/>
          <w:lang w:val="cs-CZ"/>
        </w:rPr>
        <w:t xml:space="preserve">společenský přínos </w:t>
      </w:r>
      <w:r w:rsidRPr="00375A49">
        <w:rPr>
          <w:lang w:val="cs-CZ"/>
        </w:rPr>
        <w:t xml:space="preserve">hodnocené jednotky jako celku v období </w:t>
      </w:r>
      <w:r w:rsidR="00356202" w:rsidRPr="00356202">
        <w:rPr>
          <w:lang w:val="cs-CZ"/>
        </w:rPr>
        <w:t xml:space="preserve">2014 až 2018 </w:t>
      </w:r>
      <w:r w:rsidRPr="00375A49">
        <w:rPr>
          <w:lang w:val="cs-CZ"/>
        </w:rPr>
        <w:t xml:space="preserve">(např. nový lék připravovaný do výroby). Hodnocení </w:t>
      </w:r>
      <w:r>
        <w:rPr>
          <w:lang w:val="cs-CZ"/>
        </w:rPr>
        <w:t xml:space="preserve">modulu </w:t>
      </w:r>
      <w:r w:rsidRPr="00375A49">
        <w:rPr>
          <w:lang w:val="cs-CZ"/>
        </w:rPr>
        <w:t>M3 a jeho výsledky jsou závislé na charakteru oborové skupiny (FORD</w:t>
      </w:r>
      <w:r w:rsidR="009E7805">
        <w:rPr>
          <w:rStyle w:val="Znakapoznpodarou"/>
          <w:lang w:val="cs-CZ"/>
        </w:rPr>
        <w:footnoteReference w:id="2"/>
      </w:r>
      <w:r w:rsidRPr="00375A49">
        <w:rPr>
          <w:lang w:val="cs-CZ"/>
        </w:rPr>
        <w:t>)</w:t>
      </w:r>
      <w:r w:rsidR="00356202">
        <w:rPr>
          <w:lang w:val="cs-CZ"/>
        </w:rPr>
        <w:t>,</w:t>
      </w:r>
      <w:r w:rsidRPr="00375A49">
        <w:rPr>
          <w:lang w:val="cs-CZ"/>
        </w:rPr>
        <w:t xml:space="preserve"> je tedy nezbytné hodnotit co nejkompaktnější jednotku a v hodnocení zohlednit specifika jednotek různého typu podle oborových skupin. </w:t>
      </w:r>
    </w:p>
    <w:p w:rsidR="0065787D" w:rsidRDefault="0065787D" w:rsidP="000F31B0">
      <w:pPr>
        <w:jc w:val="both"/>
        <w:rPr>
          <w:lang w:val="cs-CZ"/>
        </w:rPr>
      </w:pPr>
    </w:p>
    <w:p w:rsidR="000F31B0" w:rsidRPr="00375A49" w:rsidRDefault="000F31B0" w:rsidP="000F31B0">
      <w:pPr>
        <w:jc w:val="both"/>
        <w:rPr>
          <w:lang w:val="cs-CZ"/>
        </w:rPr>
      </w:pPr>
      <w:r w:rsidRPr="00375A49">
        <w:rPr>
          <w:lang w:val="cs-CZ"/>
        </w:rPr>
        <w:t xml:space="preserve">V rámci </w:t>
      </w:r>
      <w:r>
        <w:rPr>
          <w:lang w:val="cs-CZ"/>
        </w:rPr>
        <w:t xml:space="preserve">modulu </w:t>
      </w:r>
      <w:r w:rsidRPr="00375A49">
        <w:rPr>
          <w:lang w:val="cs-CZ"/>
        </w:rPr>
        <w:t>M3 je zaveden systém kalibrace jednotlivých kritérií vyjadřu</w:t>
      </w:r>
      <w:r w:rsidR="00280DDB">
        <w:rPr>
          <w:lang w:val="cs-CZ"/>
        </w:rPr>
        <w:t>jící</w:t>
      </w:r>
      <w:r w:rsidRPr="00375A49">
        <w:rPr>
          <w:lang w:val="cs-CZ"/>
        </w:rPr>
        <w:t xml:space="preserve"> míru relevance pro daný typ hodnocené jednotky. Cílem kalibrace je zohlednit mezioborové rozdíly, resp. různé typy společenského přínosu.</w:t>
      </w: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Modul M3 je rozdělen do 6 klastrů, které zahrnu</w:t>
      </w:r>
      <w:r w:rsidR="00F51D44">
        <w:rPr>
          <w:rFonts w:cstheme="minorHAnsi"/>
          <w:lang w:val="cs-CZ"/>
        </w:rPr>
        <w:t>jí celkem 12 konkrétních hodnoti</w:t>
      </w:r>
      <w:r w:rsidRPr="00375A49">
        <w:rPr>
          <w:rFonts w:cstheme="minorHAnsi"/>
          <w:lang w:val="cs-CZ"/>
        </w:rPr>
        <w:t>cích kritérií</w:t>
      </w:r>
      <w:r w:rsidR="0065787D">
        <w:rPr>
          <w:rFonts w:cstheme="minorHAnsi"/>
          <w:lang w:val="cs-CZ"/>
        </w:rPr>
        <w:t xml:space="preserve"> (pro státní vysoké školy vojenské a státní vysoké školy policejní </w:t>
      </w:r>
      <w:r w:rsidR="0007185F">
        <w:rPr>
          <w:rFonts w:cstheme="minorHAnsi"/>
          <w:lang w:val="cs-CZ"/>
        </w:rPr>
        <w:t xml:space="preserve">se </w:t>
      </w:r>
      <w:r w:rsidR="0065787D">
        <w:rPr>
          <w:rFonts w:cstheme="minorHAnsi"/>
          <w:lang w:val="cs-CZ"/>
        </w:rPr>
        <w:t xml:space="preserve">některá kritéria </w:t>
      </w:r>
      <w:r w:rsidR="0007185F">
        <w:rPr>
          <w:rFonts w:cstheme="minorHAnsi"/>
          <w:lang w:val="cs-CZ"/>
        </w:rPr>
        <w:t>nepoužijí</w:t>
      </w:r>
      <w:r w:rsidR="0065787D">
        <w:rPr>
          <w:rFonts w:cstheme="minorHAnsi"/>
          <w:lang w:val="cs-CZ"/>
        </w:rPr>
        <w:t>)</w:t>
      </w:r>
      <w:r w:rsidRPr="00375A49">
        <w:rPr>
          <w:rFonts w:cstheme="minorHAnsi"/>
          <w:lang w:val="cs-CZ"/>
        </w:rPr>
        <w:t>:</w:t>
      </w:r>
    </w:p>
    <w:p w:rsidR="000F31B0" w:rsidRPr="00375A49" w:rsidRDefault="000F31B0" w:rsidP="000F31B0">
      <w:pPr>
        <w:jc w:val="both"/>
        <w:rPr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SPOLEČENSKÁ RELEVANCE / SPOLEČENSKÝ PŘÍNOS HODNOCENÉ </w:t>
      </w:r>
      <w:r>
        <w:rPr>
          <w:rFonts w:cstheme="minorHAnsi"/>
          <w:b/>
          <w:lang w:val="cs-CZ"/>
        </w:rPr>
        <w:t>JEDNOTK</w:t>
      </w:r>
      <w:r w:rsidRPr="00375A49">
        <w:rPr>
          <w:rFonts w:cstheme="minorHAnsi"/>
          <w:b/>
          <w:lang w:val="cs-CZ"/>
        </w:rPr>
        <w:t>Y</w:t>
      </w:r>
    </w:p>
    <w:p w:rsidR="000F31B0" w:rsidRPr="00375A49" w:rsidRDefault="000F31B0" w:rsidP="000F31B0">
      <w:pPr>
        <w:ind w:left="360"/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3.1 </w:t>
      </w:r>
      <w:r w:rsidR="00792834">
        <w:rPr>
          <w:b/>
          <w:lang w:val="cs-CZ"/>
        </w:rPr>
        <w:t xml:space="preserve">Obecná sebereflexe </w:t>
      </w:r>
      <w:r w:rsidRPr="00375A49">
        <w:rPr>
          <w:b/>
          <w:lang w:val="cs-CZ"/>
        </w:rPr>
        <w:t xml:space="preserve">společenského přínosu </w:t>
      </w:r>
      <w:r w:rsidR="00F229AA">
        <w:rPr>
          <w:b/>
          <w:lang w:val="cs-CZ"/>
        </w:rPr>
        <w:t xml:space="preserve">VaVaI </w:t>
      </w:r>
      <w:r w:rsidRPr="00375A49">
        <w:rPr>
          <w:b/>
          <w:lang w:val="cs-CZ"/>
        </w:rPr>
        <w:t xml:space="preserve">v oborech rozvíjených na hodnocené </w:t>
      </w:r>
      <w:r>
        <w:rPr>
          <w:b/>
          <w:lang w:val="cs-CZ"/>
        </w:rPr>
        <w:t>jednotce</w:t>
      </w:r>
      <w:r w:rsidRPr="00375A49">
        <w:rPr>
          <w:b/>
          <w:lang w:val="cs-CZ"/>
        </w:rPr>
        <w:t xml:space="preserve"> a </w:t>
      </w:r>
      <w:r>
        <w:rPr>
          <w:b/>
          <w:lang w:val="cs-CZ"/>
        </w:rPr>
        <w:t>hodnocené jednotky</w:t>
      </w:r>
      <w:r w:rsidRPr="00375A49">
        <w:rPr>
          <w:b/>
          <w:lang w:val="cs-CZ"/>
        </w:rPr>
        <w:t xml:space="preserve"> jako celku 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Hodnocená jednotka </w:t>
      </w:r>
      <w:r w:rsidR="00792834">
        <w:rPr>
          <w:i/>
          <w:lang w:val="cs-CZ"/>
        </w:rPr>
        <w:t>stručně</w:t>
      </w:r>
      <w:r w:rsidR="00356202">
        <w:rPr>
          <w:i/>
          <w:lang w:val="cs-CZ"/>
        </w:rPr>
        <w:t xml:space="preserve"> a v obecné, ale vypovídající</w:t>
      </w:r>
      <w:r w:rsidR="00124ACD">
        <w:rPr>
          <w:i/>
          <w:lang w:val="cs-CZ"/>
        </w:rPr>
        <w:t xml:space="preserve"> rovině</w:t>
      </w:r>
      <w:r w:rsidR="00792834">
        <w:rPr>
          <w:i/>
          <w:lang w:val="cs-CZ"/>
        </w:rPr>
        <w:t xml:space="preserve"> </w:t>
      </w:r>
      <w:r w:rsidRPr="00375A49">
        <w:rPr>
          <w:i/>
          <w:lang w:val="cs-CZ"/>
        </w:rPr>
        <w:t>popíše společens</w:t>
      </w:r>
      <w:r w:rsidR="007C4052">
        <w:rPr>
          <w:i/>
          <w:lang w:val="cs-CZ"/>
        </w:rPr>
        <w:t>ký</w:t>
      </w:r>
      <w:r w:rsidRPr="00375A49">
        <w:rPr>
          <w:i/>
          <w:lang w:val="cs-CZ"/>
        </w:rPr>
        <w:t xml:space="preserve"> přínos </w:t>
      </w:r>
      <w:r w:rsidR="00616315">
        <w:rPr>
          <w:i/>
          <w:lang w:val="cs-CZ"/>
        </w:rPr>
        <w:t>VaVaI</w:t>
      </w:r>
      <w:r w:rsidRPr="00375A49">
        <w:rPr>
          <w:i/>
          <w:lang w:val="cs-CZ"/>
        </w:rPr>
        <w:t xml:space="preserve"> v oborech za hodnocené období</w:t>
      </w:r>
      <w:r w:rsidR="00A7646E">
        <w:rPr>
          <w:i/>
          <w:lang w:val="cs-CZ"/>
        </w:rPr>
        <w:t xml:space="preserve"> 2014 až 2018</w:t>
      </w:r>
      <w:r w:rsidRPr="00375A49">
        <w:rPr>
          <w:i/>
          <w:lang w:val="cs-CZ"/>
        </w:rPr>
        <w:t>.</w:t>
      </w:r>
    </w:p>
    <w:p w:rsidR="000F31B0" w:rsidRPr="00375A49" w:rsidRDefault="000F31B0" w:rsidP="000F31B0">
      <w:pPr>
        <w:rPr>
          <w:rFonts w:cstheme="minorHAnsi"/>
          <w:b/>
          <w:lang w:val="cs-CZ"/>
        </w:rPr>
      </w:pPr>
    </w:p>
    <w:p w:rsidR="000F31B0" w:rsidRDefault="000F31B0" w:rsidP="000F31B0">
      <w:pPr>
        <w:rPr>
          <w:rFonts w:cstheme="minorHAnsi"/>
          <w:b/>
          <w:lang w:val="cs-CZ"/>
        </w:rPr>
      </w:pPr>
      <w:r>
        <w:rPr>
          <w:rFonts w:cstheme="minorHAnsi"/>
          <w:b/>
          <w:lang w:val="cs-CZ"/>
        </w:rPr>
        <w:br w:type="page"/>
      </w: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lastRenderedPageBreak/>
        <w:t>PROJEKTY APLIKOVANÉHO VÝZKUMU</w:t>
      </w:r>
    </w:p>
    <w:p w:rsidR="000F31B0" w:rsidRPr="00375A49" w:rsidRDefault="000F31B0" w:rsidP="000F31B0">
      <w:pPr>
        <w:ind w:left="360"/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3.2 Projekty aplikovaného výzkumu</w:t>
      </w:r>
      <w:r w:rsidR="00F11DA3">
        <w:rPr>
          <w:rStyle w:val="Znakapoznpodarou"/>
          <w:b/>
          <w:lang w:val="cs-CZ"/>
        </w:rPr>
        <w:footnoteReference w:id="3"/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Hodnocená jednotka uvede </w:t>
      </w:r>
      <w:r w:rsidR="00124ACD">
        <w:rPr>
          <w:i/>
          <w:lang w:val="cs-CZ"/>
        </w:rPr>
        <w:t>nanejvýše</w:t>
      </w:r>
      <w:r w:rsidR="00124ACD" w:rsidRPr="00375A49">
        <w:rPr>
          <w:i/>
          <w:lang w:val="cs-CZ"/>
        </w:rPr>
        <w:t xml:space="preserve"> </w:t>
      </w:r>
      <w:r w:rsidRPr="00375A49">
        <w:rPr>
          <w:i/>
          <w:lang w:val="cs-CZ"/>
        </w:rPr>
        <w:t>5 (z pohledu hodnocené jednotky nejvýznamnějších) projektů aplikovaného výzkumu</w:t>
      </w:r>
      <w:r w:rsidR="00553455" w:rsidRPr="00553455">
        <w:rPr>
          <w:i/>
          <w:lang w:val="cs-CZ"/>
        </w:rPr>
        <w:t xml:space="preserve"> </w:t>
      </w:r>
      <w:r w:rsidRPr="00375A49">
        <w:rPr>
          <w:i/>
          <w:lang w:val="cs-CZ"/>
        </w:rPr>
        <w:t>za hodnocené období</w:t>
      </w:r>
      <w:r w:rsidR="00A7646E">
        <w:rPr>
          <w:i/>
          <w:lang w:val="cs-CZ"/>
        </w:rPr>
        <w:t xml:space="preserve"> 2014 až 2018</w:t>
      </w:r>
      <w:r w:rsidRPr="00375A49">
        <w:rPr>
          <w:i/>
          <w:lang w:val="cs-CZ"/>
        </w:rPr>
        <w:t xml:space="preserve"> z úplného přehledu v příloze (tab. 3.2.1 a 3.2.2)</w:t>
      </w:r>
      <w:r w:rsidR="00792834">
        <w:rPr>
          <w:i/>
          <w:lang w:val="cs-CZ"/>
        </w:rPr>
        <w:t>, zejména</w:t>
      </w:r>
      <w:r w:rsidRPr="00375A49">
        <w:rPr>
          <w:i/>
          <w:lang w:val="cs-CZ"/>
        </w:rPr>
        <w:t xml:space="preserve"> </w:t>
      </w:r>
      <w:r w:rsidR="00553455">
        <w:rPr>
          <w:i/>
          <w:lang w:val="cs-CZ"/>
        </w:rPr>
        <w:t xml:space="preserve">s ohledem na dosažené výsledky </w:t>
      </w:r>
      <w:r w:rsidR="00792834">
        <w:rPr>
          <w:i/>
          <w:lang w:val="cs-CZ"/>
        </w:rPr>
        <w:t>nebo aplikační potenciál projektu</w:t>
      </w:r>
      <w:r w:rsidRPr="00375A49">
        <w:rPr>
          <w:i/>
          <w:lang w:val="cs-CZ"/>
        </w:rPr>
        <w:t>.</w:t>
      </w:r>
    </w:p>
    <w:p w:rsidR="000F31B0" w:rsidRPr="00375A49" w:rsidRDefault="000F31B0" w:rsidP="000F31B0">
      <w:pPr>
        <w:jc w:val="both"/>
        <w:rPr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3.3</w:t>
      </w:r>
      <w:r w:rsidR="00792834">
        <w:rPr>
          <w:b/>
          <w:lang w:val="cs-CZ"/>
        </w:rPr>
        <w:t xml:space="preserve"> S</w:t>
      </w:r>
      <w:r w:rsidRPr="00375A49">
        <w:rPr>
          <w:b/>
          <w:lang w:val="cs-CZ"/>
        </w:rPr>
        <w:t>mluvní výzkum</w:t>
      </w:r>
      <w:r w:rsidR="00E8344D">
        <w:rPr>
          <w:rStyle w:val="Znakapoznpodarou"/>
          <w:b/>
          <w:lang w:val="cs-CZ"/>
        </w:rPr>
        <w:footnoteReference w:id="4"/>
      </w:r>
      <w:r w:rsidRPr="00375A49">
        <w:rPr>
          <w:b/>
          <w:lang w:val="cs-CZ"/>
        </w:rPr>
        <w:tab/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Hodnocená jednotka stručně okomentuje </w:t>
      </w:r>
      <w:r w:rsidR="00792834">
        <w:rPr>
          <w:i/>
          <w:lang w:val="cs-CZ"/>
        </w:rPr>
        <w:t>výnosy</w:t>
      </w:r>
      <w:r w:rsidR="004A55FE">
        <w:rPr>
          <w:i/>
          <w:lang w:val="cs-CZ"/>
        </w:rPr>
        <w:t xml:space="preserve"> </w:t>
      </w:r>
      <w:r w:rsidRPr="00375A49">
        <w:rPr>
          <w:i/>
          <w:lang w:val="cs-CZ"/>
        </w:rPr>
        <w:t xml:space="preserve">získané za hodnocené období </w:t>
      </w:r>
      <w:r w:rsidR="00A7646E">
        <w:rPr>
          <w:i/>
          <w:lang w:val="cs-CZ"/>
        </w:rPr>
        <w:t xml:space="preserve">2014 až 2018 </w:t>
      </w:r>
      <w:r w:rsidRPr="00375A49">
        <w:rPr>
          <w:i/>
          <w:lang w:val="cs-CZ"/>
        </w:rPr>
        <w:t>ze smluvního výzkumu z úplného přehledu uvedeného v příloze (tab. 3.3.1 a 3.3.2).</w:t>
      </w:r>
    </w:p>
    <w:p w:rsidR="000F31B0" w:rsidRPr="00375A49" w:rsidRDefault="000F31B0" w:rsidP="000F31B0">
      <w:pPr>
        <w:jc w:val="both"/>
        <w:rPr>
          <w:highlight w:val="yellow"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3.4 Výnosy z neveřejných zdrojů (mimo </w:t>
      </w:r>
      <w:r w:rsidR="004B3C3A">
        <w:rPr>
          <w:b/>
          <w:lang w:val="cs-CZ"/>
        </w:rPr>
        <w:t xml:space="preserve">granty nebo </w:t>
      </w:r>
      <w:r w:rsidRPr="00375A49">
        <w:rPr>
          <w:b/>
          <w:lang w:val="cs-CZ"/>
        </w:rPr>
        <w:t xml:space="preserve">smluvní výzkum) získaných výzkumnou činností 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Hodnocená jednotka stručně okomentuje finanční prostředky získané za hodnocené období </w:t>
      </w:r>
      <w:r w:rsidR="00A7646E">
        <w:rPr>
          <w:i/>
          <w:lang w:val="cs-CZ"/>
        </w:rPr>
        <w:t>2014 až 2018</w:t>
      </w:r>
      <w:r w:rsidR="00DD6F5D">
        <w:rPr>
          <w:i/>
          <w:lang w:val="cs-CZ"/>
        </w:rPr>
        <w:t xml:space="preserve"> </w:t>
      </w:r>
      <w:r w:rsidRPr="00375A49">
        <w:rPr>
          <w:i/>
          <w:lang w:val="cs-CZ"/>
        </w:rPr>
        <w:t xml:space="preserve">na </w:t>
      </w:r>
      <w:r w:rsidR="00553455">
        <w:rPr>
          <w:i/>
          <w:lang w:val="cs-CZ"/>
        </w:rPr>
        <w:t>VaVaI</w:t>
      </w:r>
      <w:r w:rsidR="00906634">
        <w:rPr>
          <w:i/>
          <w:lang w:val="cs-CZ"/>
        </w:rPr>
        <w:t xml:space="preserve"> z neveřejných, mimo</w:t>
      </w:r>
      <w:r w:rsidRPr="00375A49">
        <w:rPr>
          <w:i/>
          <w:lang w:val="cs-CZ"/>
        </w:rPr>
        <w:t xml:space="preserve">grantových zdrojů </w:t>
      </w:r>
      <w:r w:rsidR="004B3C3A">
        <w:rPr>
          <w:i/>
          <w:lang w:val="cs-CZ"/>
        </w:rPr>
        <w:t>nebo</w:t>
      </w:r>
      <w:r w:rsidRPr="00375A49">
        <w:rPr>
          <w:i/>
          <w:lang w:val="cs-CZ"/>
        </w:rPr>
        <w:t xml:space="preserve"> smluvního výzkumu (např. prodané licence, výnosy spin-off, dary atd.). Úplný přehled uvede v příloze (tab. 3.4.1).</w:t>
      </w:r>
    </w:p>
    <w:p w:rsidR="000F31B0" w:rsidRPr="00375A49" w:rsidRDefault="000F31B0" w:rsidP="000F31B0">
      <w:pPr>
        <w:ind w:left="360"/>
        <w:jc w:val="both"/>
        <w:rPr>
          <w:lang w:val="cs-CZ"/>
        </w:rPr>
      </w:pPr>
    </w:p>
    <w:p w:rsidR="00391180" w:rsidRDefault="000F31B0" w:rsidP="0039118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VÝSLEDKY APLIKOVANÉHO VÝZKUMU</w:t>
      </w:r>
    </w:p>
    <w:p w:rsidR="00391180" w:rsidRDefault="00391180" w:rsidP="0039118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0F31B0" w:rsidRPr="00375A49" w:rsidRDefault="000F31B0" w:rsidP="00391180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3.5 Výsledky aplikovaného </w:t>
      </w:r>
      <w:r w:rsidR="00553455" w:rsidRPr="00553455">
        <w:rPr>
          <w:b/>
          <w:lang w:val="cs-CZ"/>
        </w:rPr>
        <w:t>výzkumu</w:t>
      </w:r>
      <w:r w:rsidRPr="00375A49">
        <w:rPr>
          <w:b/>
          <w:lang w:val="cs-CZ"/>
        </w:rPr>
        <w:t xml:space="preserve"> s existujícím nebo perspektivním ekonomickým dopadem na společnost 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Hodnocená jednotka stručně okomentuje </w:t>
      </w:r>
      <w:r w:rsidR="00124ACD">
        <w:rPr>
          <w:i/>
          <w:lang w:val="cs-CZ"/>
        </w:rPr>
        <w:t>nanejvýše</w:t>
      </w:r>
      <w:r w:rsidR="00124ACD" w:rsidRPr="00375A49">
        <w:rPr>
          <w:i/>
          <w:lang w:val="cs-CZ"/>
        </w:rPr>
        <w:t xml:space="preserve"> </w:t>
      </w:r>
      <w:r w:rsidRPr="00375A49">
        <w:rPr>
          <w:i/>
          <w:lang w:val="cs-CZ"/>
        </w:rPr>
        <w:t xml:space="preserve">5 (z pohledu hodnocené jednotky </w:t>
      </w:r>
      <w:r w:rsidR="0063469B" w:rsidRPr="00375A49">
        <w:rPr>
          <w:i/>
          <w:lang w:val="cs-CZ"/>
        </w:rPr>
        <w:t>ne</w:t>
      </w:r>
      <w:r w:rsidR="0063469B">
        <w:rPr>
          <w:i/>
          <w:lang w:val="cs-CZ"/>
        </w:rPr>
        <w:t>jvýznam</w:t>
      </w:r>
      <w:r w:rsidR="0063469B" w:rsidRPr="00375A49">
        <w:rPr>
          <w:i/>
          <w:lang w:val="cs-CZ"/>
        </w:rPr>
        <w:t>nějších</w:t>
      </w:r>
      <w:r w:rsidRPr="00375A49">
        <w:rPr>
          <w:i/>
          <w:lang w:val="cs-CZ"/>
        </w:rPr>
        <w:t xml:space="preserve">) výsledků </w:t>
      </w:r>
      <w:r w:rsidR="00553455" w:rsidRPr="00553455">
        <w:rPr>
          <w:i/>
          <w:lang w:val="cs-CZ"/>
        </w:rPr>
        <w:t>aplikovaného výzkumu</w:t>
      </w:r>
      <w:r w:rsidRPr="00375A49">
        <w:rPr>
          <w:i/>
          <w:lang w:val="cs-CZ"/>
        </w:rPr>
        <w:t xml:space="preserve"> již uplatněných v </w:t>
      </w:r>
      <w:r w:rsidR="00EF2591">
        <w:rPr>
          <w:i/>
          <w:lang w:val="cs-CZ"/>
        </w:rPr>
        <w:t>praxi nebo reálně směřujících k </w:t>
      </w:r>
      <w:r w:rsidRPr="00375A49">
        <w:rPr>
          <w:i/>
          <w:lang w:val="cs-CZ"/>
        </w:rPr>
        <w:t xml:space="preserve">uplatnění za hodnocené období </w:t>
      </w:r>
      <w:r w:rsidR="00A7646E">
        <w:rPr>
          <w:i/>
          <w:lang w:val="cs-CZ"/>
        </w:rPr>
        <w:t xml:space="preserve">2014 až 2018 </w:t>
      </w:r>
      <w:r w:rsidR="00C60731">
        <w:rPr>
          <w:i/>
          <w:lang w:val="cs-CZ"/>
        </w:rPr>
        <w:t> </w:t>
      </w:r>
      <w:r w:rsidRPr="00375A49">
        <w:rPr>
          <w:i/>
          <w:lang w:val="cs-CZ"/>
        </w:rPr>
        <w:t>z</w:t>
      </w:r>
      <w:r w:rsidR="00C60731">
        <w:rPr>
          <w:i/>
          <w:lang w:val="cs-CZ"/>
        </w:rPr>
        <w:t> </w:t>
      </w:r>
      <w:r w:rsidRPr="00375A49">
        <w:rPr>
          <w:i/>
          <w:lang w:val="cs-CZ"/>
        </w:rPr>
        <w:t>přehledu v příloze (tab. 3.5.1).</w:t>
      </w:r>
    </w:p>
    <w:p w:rsidR="000F31B0" w:rsidRPr="00375A49" w:rsidRDefault="000F31B0" w:rsidP="000F31B0">
      <w:pPr>
        <w:jc w:val="both"/>
        <w:rPr>
          <w:i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3.6 Významné výsledky aplikovaného </w:t>
      </w:r>
      <w:r w:rsidR="00553455" w:rsidRPr="00553455">
        <w:rPr>
          <w:b/>
          <w:lang w:val="cs-CZ"/>
        </w:rPr>
        <w:t>výzkumu</w:t>
      </w:r>
      <w:r w:rsidRPr="00375A49">
        <w:rPr>
          <w:b/>
          <w:lang w:val="cs-CZ"/>
        </w:rPr>
        <w:t xml:space="preserve"> s jiným než ekonomickým dopadem na společnost 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Hodnocená jednotka stručně popíše </w:t>
      </w:r>
      <w:r w:rsidR="00124ACD">
        <w:rPr>
          <w:i/>
          <w:lang w:val="cs-CZ"/>
        </w:rPr>
        <w:t>nanejvýše</w:t>
      </w:r>
      <w:r w:rsidR="00124ACD" w:rsidRPr="00375A49">
        <w:rPr>
          <w:i/>
          <w:lang w:val="cs-CZ"/>
        </w:rPr>
        <w:t xml:space="preserve"> </w:t>
      </w:r>
      <w:r w:rsidRPr="00375A49">
        <w:rPr>
          <w:i/>
          <w:lang w:val="cs-CZ"/>
        </w:rPr>
        <w:t>5 (z pohledu hodnocené jednotky nej</w:t>
      </w:r>
      <w:r w:rsidR="0063469B">
        <w:rPr>
          <w:i/>
          <w:lang w:val="cs-CZ"/>
        </w:rPr>
        <w:t>význam</w:t>
      </w:r>
      <w:r w:rsidRPr="00375A49">
        <w:rPr>
          <w:i/>
          <w:lang w:val="cs-CZ"/>
        </w:rPr>
        <w:t xml:space="preserve">nějších) výsledků </w:t>
      </w:r>
      <w:r w:rsidR="00553455" w:rsidRPr="00553455">
        <w:rPr>
          <w:i/>
          <w:lang w:val="cs-CZ"/>
        </w:rPr>
        <w:t>aplikovaného výzkumu</w:t>
      </w:r>
      <w:r w:rsidRPr="00375A49">
        <w:rPr>
          <w:i/>
          <w:lang w:val="cs-CZ"/>
        </w:rPr>
        <w:t xml:space="preserve"> s jiným než ekonomickým dopadem na společnost za hodnocené období </w:t>
      </w:r>
      <w:r w:rsidR="00A7646E">
        <w:rPr>
          <w:i/>
          <w:lang w:val="cs-CZ"/>
        </w:rPr>
        <w:t xml:space="preserve">2014 až 2018 </w:t>
      </w:r>
      <w:r w:rsidRPr="00375A49">
        <w:rPr>
          <w:i/>
          <w:lang w:val="cs-CZ"/>
        </w:rPr>
        <w:t>(typicky výsledky humanitních a</w:t>
      </w:r>
      <w:r w:rsidR="00C60731">
        <w:rPr>
          <w:i/>
          <w:lang w:val="cs-CZ"/>
        </w:rPr>
        <w:t> </w:t>
      </w:r>
      <w:r w:rsidRPr="00375A49">
        <w:rPr>
          <w:i/>
          <w:lang w:val="cs-CZ"/>
        </w:rPr>
        <w:t>společenskovědních oborů) z přehledu v příloze (tab. 3.6.1).</w:t>
      </w:r>
    </w:p>
    <w:p w:rsidR="000F31B0" w:rsidRPr="00375A49" w:rsidRDefault="000F31B0" w:rsidP="000F31B0">
      <w:pPr>
        <w:ind w:left="360"/>
        <w:jc w:val="both"/>
        <w:rPr>
          <w:b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SPOLUPRÁCE S MIMOAKADEMICKÝM PROSTŘEDÍM A TRANSFER TECHNOLOGIÍ</w:t>
      </w:r>
    </w:p>
    <w:p w:rsidR="000F31B0" w:rsidRPr="00375A49" w:rsidRDefault="000F31B0" w:rsidP="000F31B0">
      <w:pPr>
        <w:ind w:left="360"/>
        <w:jc w:val="both"/>
        <w:rPr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3.7 </w:t>
      </w:r>
      <w:r w:rsidR="0063469B">
        <w:rPr>
          <w:b/>
          <w:lang w:val="cs-CZ"/>
        </w:rPr>
        <w:t>N</w:t>
      </w:r>
      <w:r w:rsidR="001C2A4C">
        <w:rPr>
          <w:b/>
          <w:lang w:val="cs-CZ"/>
        </w:rPr>
        <w:t>ejvýznamnější interakc</w:t>
      </w:r>
      <w:r w:rsidR="005F5F18">
        <w:rPr>
          <w:b/>
          <w:lang w:val="cs-CZ"/>
        </w:rPr>
        <w:t>e</w:t>
      </w:r>
      <w:r w:rsidR="001C2A4C">
        <w:rPr>
          <w:b/>
          <w:lang w:val="cs-CZ"/>
        </w:rPr>
        <w:t xml:space="preserve"> </w:t>
      </w:r>
      <w:r w:rsidR="001C2A4C" w:rsidRPr="00E8344D">
        <w:rPr>
          <w:b/>
          <w:lang w:val="cs-CZ"/>
        </w:rPr>
        <w:t>hodnocené jednotky</w:t>
      </w:r>
      <w:r w:rsidRPr="00375A49">
        <w:rPr>
          <w:b/>
          <w:lang w:val="cs-CZ"/>
        </w:rPr>
        <w:t xml:space="preserve"> s mimouniverzitní aplikační/firemní sférou 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Hodnocená jednotka stručně popíše nejtypičtější uživatele svých výsledků. Uvede, zda a jak je vyhledává a jak s nimi spolupracuje. Připojí příklady</w:t>
      </w:r>
      <w:r w:rsidR="00792834">
        <w:rPr>
          <w:i/>
          <w:lang w:val="cs-CZ"/>
        </w:rPr>
        <w:t xml:space="preserve"> nanejvýše</w:t>
      </w:r>
      <w:r w:rsidRPr="00375A49">
        <w:rPr>
          <w:i/>
          <w:lang w:val="cs-CZ"/>
        </w:rPr>
        <w:t xml:space="preserve"> 10 nejvýznamnějších interakcí s mimoakademickou sférou za hodnocené období</w:t>
      </w:r>
      <w:r w:rsidR="00A7646E">
        <w:rPr>
          <w:i/>
          <w:lang w:val="cs-CZ"/>
        </w:rPr>
        <w:t xml:space="preserve"> 2014 až 2018</w:t>
      </w:r>
      <w:r w:rsidRPr="00375A49">
        <w:rPr>
          <w:i/>
          <w:lang w:val="cs-CZ"/>
        </w:rPr>
        <w:t xml:space="preserve">. </w:t>
      </w:r>
    </w:p>
    <w:p w:rsidR="00D83B4D" w:rsidRPr="00375A49" w:rsidRDefault="00D83B4D" w:rsidP="000F31B0">
      <w:pPr>
        <w:jc w:val="both"/>
        <w:rPr>
          <w:b/>
          <w:lang w:val="cs-CZ"/>
        </w:rPr>
      </w:pPr>
    </w:p>
    <w:p w:rsidR="000F31B0" w:rsidRPr="00B570E3" w:rsidRDefault="000F31B0" w:rsidP="000F31B0">
      <w:pPr>
        <w:jc w:val="both"/>
        <w:rPr>
          <w:lang w:val="cs-CZ"/>
        </w:rPr>
      </w:pPr>
      <w:r w:rsidRPr="00375A49">
        <w:rPr>
          <w:b/>
          <w:lang w:val="cs-CZ"/>
        </w:rPr>
        <w:t>3.8 Systém a podpora transferu technologií a ochrany duševního vlastnictví</w:t>
      </w:r>
      <w:r w:rsidR="00792834">
        <w:rPr>
          <w:b/>
          <w:lang w:val="cs-CZ"/>
        </w:rPr>
        <w:t xml:space="preserve"> </w:t>
      </w:r>
      <w:r w:rsidR="00792834" w:rsidRPr="00B570E3">
        <w:rPr>
          <w:lang w:val="cs-CZ"/>
        </w:rPr>
        <w:t xml:space="preserve">(lze vztáhnout k celé </w:t>
      </w:r>
      <w:r w:rsidR="00177D38">
        <w:rPr>
          <w:lang w:val="cs-CZ"/>
        </w:rPr>
        <w:t xml:space="preserve">vysoké škole </w:t>
      </w:r>
      <w:r w:rsidR="00792834" w:rsidRPr="00B570E3">
        <w:rPr>
          <w:lang w:val="cs-CZ"/>
        </w:rPr>
        <w:t>se zdůrazněním specifik hodnocené jednotky)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Hodnocená jednotka stručně popíše systém</w:t>
      </w:r>
      <w:r w:rsidR="00356202">
        <w:rPr>
          <w:i/>
          <w:lang w:val="cs-CZ"/>
        </w:rPr>
        <w:t xml:space="preserve"> transferu technologií</w:t>
      </w:r>
      <w:r w:rsidRPr="00375A49">
        <w:rPr>
          <w:i/>
          <w:lang w:val="cs-CZ"/>
        </w:rPr>
        <w:t xml:space="preserve"> v rámci dané hodnocené jednotky. Zhodnocení kvality </w:t>
      </w:r>
      <w:r w:rsidR="00553455" w:rsidRPr="00553455">
        <w:rPr>
          <w:i/>
          <w:lang w:val="cs-CZ"/>
        </w:rPr>
        <w:t>aplikovaného výzkumu</w:t>
      </w:r>
      <w:r w:rsidR="00553455">
        <w:rPr>
          <w:i/>
          <w:lang w:val="cs-CZ"/>
        </w:rPr>
        <w:t xml:space="preserve"> a </w:t>
      </w:r>
      <w:r w:rsidRPr="00375A49">
        <w:rPr>
          <w:i/>
          <w:lang w:val="cs-CZ"/>
        </w:rPr>
        <w:t>efektivity transferu technologií provede na základě údajů uvedených v příloze (tab. 3.5.1). Komentář se zaměří zejména na počty podaných a udělených patentů (české, mezinárodní) a prodaných licencí.</w:t>
      </w:r>
    </w:p>
    <w:p w:rsidR="000F31B0" w:rsidRPr="00375A49" w:rsidRDefault="000F31B0" w:rsidP="000F31B0">
      <w:pPr>
        <w:jc w:val="both"/>
        <w:rPr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3.9 Strategie zakládání a podpora spin-off firem </w:t>
      </w:r>
      <w:r w:rsidR="006F43B8">
        <w:rPr>
          <w:b/>
          <w:lang w:val="cs-CZ"/>
        </w:rPr>
        <w:t>nebo jin</w:t>
      </w:r>
      <w:r w:rsidR="005A7BE0">
        <w:rPr>
          <w:b/>
          <w:lang w:val="cs-CZ"/>
        </w:rPr>
        <w:t>ých</w:t>
      </w:r>
      <w:r w:rsidR="006F43B8">
        <w:rPr>
          <w:b/>
          <w:lang w:val="cs-CZ"/>
        </w:rPr>
        <w:t xml:space="preserve"> for</w:t>
      </w:r>
      <w:r w:rsidR="005A7BE0">
        <w:rPr>
          <w:b/>
          <w:lang w:val="cs-CZ"/>
        </w:rPr>
        <w:t>e</w:t>
      </w:r>
      <w:r w:rsidR="006F43B8">
        <w:rPr>
          <w:b/>
          <w:lang w:val="cs-CZ"/>
        </w:rPr>
        <w:t xml:space="preserve">m komercionalizace výsledků </w:t>
      </w:r>
      <w:r w:rsidR="00553455">
        <w:rPr>
          <w:b/>
          <w:lang w:val="cs-CZ"/>
        </w:rPr>
        <w:t>VaVaI</w:t>
      </w:r>
      <w:r w:rsidR="006F43B8">
        <w:rPr>
          <w:b/>
          <w:lang w:val="cs-CZ"/>
        </w:rPr>
        <w:t xml:space="preserve"> </w:t>
      </w:r>
      <w:r w:rsidRPr="004F357A">
        <w:rPr>
          <w:lang w:val="cs-CZ"/>
        </w:rPr>
        <w:t xml:space="preserve">(lze vztáhnout k celé </w:t>
      </w:r>
      <w:r w:rsidR="00177D38">
        <w:rPr>
          <w:lang w:val="cs-CZ"/>
        </w:rPr>
        <w:t>vysoké škole</w:t>
      </w:r>
      <w:r w:rsidRPr="004F357A">
        <w:rPr>
          <w:lang w:val="cs-CZ"/>
        </w:rPr>
        <w:t xml:space="preserve"> se zdůrazněním specifik hodnocené jednotky)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Hodnocená jednotka stručně popíše praktické využití duševního vlastnictví formou zakládání spin-off firem </w:t>
      </w:r>
      <w:r w:rsidR="006F43B8">
        <w:rPr>
          <w:i/>
          <w:lang w:val="cs-CZ"/>
        </w:rPr>
        <w:t>nebo jin</w:t>
      </w:r>
      <w:r w:rsidR="00553455">
        <w:rPr>
          <w:i/>
          <w:lang w:val="cs-CZ"/>
        </w:rPr>
        <w:t>ých</w:t>
      </w:r>
      <w:r w:rsidR="006F43B8">
        <w:rPr>
          <w:i/>
          <w:lang w:val="cs-CZ"/>
        </w:rPr>
        <w:t xml:space="preserve"> for</w:t>
      </w:r>
      <w:r w:rsidR="00553455">
        <w:rPr>
          <w:i/>
          <w:lang w:val="cs-CZ"/>
        </w:rPr>
        <w:t>e</w:t>
      </w:r>
      <w:r w:rsidR="006F43B8">
        <w:rPr>
          <w:i/>
          <w:lang w:val="cs-CZ"/>
        </w:rPr>
        <w:t xml:space="preserve">m komercionalizace výsledků </w:t>
      </w:r>
      <w:r w:rsidR="00553455">
        <w:rPr>
          <w:i/>
          <w:lang w:val="cs-CZ"/>
        </w:rPr>
        <w:t>VaVaI</w:t>
      </w:r>
      <w:r w:rsidR="006F43B8">
        <w:rPr>
          <w:i/>
          <w:lang w:val="cs-CZ"/>
        </w:rPr>
        <w:t xml:space="preserve"> </w:t>
      </w:r>
      <w:r w:rsidRPr="00375A49">
        <w:rPr>
          <w:i/>
          <w:lang w:val="cs-CZ"/>
        </w:rPr>
        <w:t>(jak s podílem, tak i bez podílu vysoké školy) založených hodnocenou jednotkou (vysokou školou), jinou osobou ovládanou hodnocenou jednotko</w:t>
      </w:r>
      <w:r w:rsidR="00B67533">
        <w:rPr>
          <w:i/>
          <w:lang w:val="cs-CZ"/>
        </w:rPr>
        <w:t>u (vysokou školou), zaměstnancem</w:t>
      </w:r>
      <w:r w:rsidRPr="00375A49">
        <w:rPr>
          <w:rStyle w:val="Znakapoznpodarou"/>
          <w:i/>
          <w:lang w:val="cs-CZ"/>
        </w:rPr>
        <w:footnoteReference w:id="5"/>
      </w:r>
      <w:r w:rsidRPr="00375A49">
        <w:rPr>
          <w:i/>
          <w:lang w:val="cs-CZ"/>
        </w:rPr>
        <w:t xml:space="preserve"> hodnocené jednotk</w:t>
      </w:r>
      <w:r w:rsidR="006F43B8">
        <w:rPr>
          <w:i/>
          <w:lang w:val="cs-CZ"/>
        </w:rPr>
        <w:t>y s uvedením modelu fungování a </w:t>
      </w:r>
      <w:r w:rsidRPr="00375A49">
        <w:rPr>
          <w:i/>
          <w:lang w:val="cs-CZ"/>
        </w:rPr>
        <w:t>koordinace a</w:t>
      </w:r>
      <w:r w:rsidR="00C60731">
        <w:rPr>
          <w:i/>
          <w:lang w:val="cs-CZ"/>
        </w:rPr>
        <w:t> </w:t>
      </w:r>
      <w:r w:rsidRPr="00375A49">
        <w:rPr>
          <w:i/>
          <w:lang w:val="cs-CZ"/>
        </w:rPr>
        <w:t xml:space="preserve">kontroly nakládání s duševním vlastnictvím hodnocené jednotky (vysoké školy). </w:t>
      </w:r>
    </w:p>
    <w:p w:rsidR="000F31B0" w:rsidRPr="00375A49" w:rsidRDefault="000F31B0" w:rsidP="000F31B0">
      <w:pPr>
        <w:jc w:val="both"/>
        <w:rPr>
          <w:lang w:val="cs-CZ"/>
        </w:rPr>
      </w:pPr>
    </w:p>
    <w:p w:rsidR="000F31B0" w:rsidRPr="00375A49" w:rsidRDefault="000F31B0" w:rsidP="000F31B0">
      <w:pPr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UZNÁNÍ VÝZKUMNOU KOMUNITOU</w:t>
      </w:r>
    </w:p>
    <w:p w:rsidR="000F31B0" w:rsidRPr="00375A49" w:rsidRDefault="000F31B0" w:rsidP="000F31B0">
      <w:pPr>
        <w:ind w:left="360"/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3.10 </w:t>
      </w:r>
      <w:r w:rsidR="005F5F18">
        <w:rPr>
          <w:b/>
          <w:lang w:val="cs-CZ"/>
        </w:rPr>
        <w:t>N</w:t>
      </w:r>
      <w:r w:rsidRPr="00375A49">
        <w:rPr>
          <w:b/>
          <w:lang w:val="cs-CZ"/>
        </w:rPr>
        <w:t xml:space="preserve">ejvýznamnější individuální ocenění za </w:t>
      </w:r>
      <w:r w:rsidR="00553455">
        <w:rPr>
          <w:b/>
          <w:lang w:val="cs-CZ"/>
        </w:rPr>
        <w:t>VaVaI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Hodnocená jednotka uvede nanejvýš</w:t>
      </w:r>
      <w:r w:rsidR="00792834">
        <w:rPr>
          <w:i/>
          <w:lang w:val="cs-CZ"/>
        </w:rPr>
        <w:t>e</w:t>
      </w:r>
      <w:r w:rsidRPr="00375A49">
        <w:rPr>
          <w:i/>
          <w:lang w:val="cs-CZ"/>
        </w:rPr>
        <w:t xml:space="preserve"> 10 příkladů nejvýznamnějších zahraničních a českých prestižních ocenění </w:t>
      </w:r>
      <w:r w:rsidR="00553455">
        <w:rPr>
          <w:i/>
          <w:lang w:val="cs-CZ"/>
        </w:rPr>
        <w:t>VaVaI</w:t>
      </w:r>
      <w:r w:rsidRPr="00375A49">
        <w:rPr>
          <w:i/>
          <w:lang w:val="cs-CZ"/>
        </w:rPr>
        <w:t xml:space="preserve"> získaných za hodnocené období</w:t>
      </w:r>
      <w:r w:rsidR="00A7646E">
        <w:rPr>
          <w:i/>
          <w:lang w:val="cs-CZ"/>
        </w:rPr>
        <w:t xml:space="preserve"> 2014 až 2018</w:t>
      </w:r>
      <w:r w:rsidRPr="00375A49">
        <w:rPr>
          <w:i/>
          <w:lang w:val="cs-CZ"/>
        </w:rPr>
        <w:t>.</w:t>
      </w:r>
    </w:p>
    <w:p w:rsidR="000F31B0" w:rsidRPr="00375A49" w:rsidRDefault="000F31B0" w:rsidP="000F31B0">
      <w:pPr>
        <w:jc w:val="both"/>
        <w:rPr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3.11 Uznání mezinárodní komunitou v oblasti </w:t>
      </w:r>
      <w:r w:rsidR="00553455">
        <w:rPr>
          <w:b/>
          <w:lang w:val="cs-CZ"/>
        </w:rPr>
        <w:t>VaVaI</w:t>
      </w:r>
      <w:r w:rsidRPr="00375A49">
        <w:rPr>
          <w:b/>
          <w:lang w:val="cs-CZ"/>
        </w:rPr>
        <w:t xml:space="preserve"> 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Hodnocená jednotka </w:t>
      </w:r>
      <w:r w:rsidR="0094795B">
        <w:rPr>
          <w:i/>
          <w:lang w:val="cs-CZ"/>
        </w:rPr>
        <w:t>doprovodí slovním komentářem následující</w:t>
      </w:r>
      <w:r w:rsidR="00462B85">
        <w:rPr>
          <w:i/>
          <w:lang w:val="cs-CZ"/>
        </w:rPr>
        <w:t xml:space="preserve"> informace / příklady dokláda</w:t>
      </w:r>
      <w:r w:rsidRPr="00375A49">
        <w:rPr>
          <w:i/>
          <w:lang w:val="cs-CZ"/>
        </w:rPr>
        <w:t>jící uznání mezinárodní vědeckou komunitou za hodnocené období</w:t>
      </w:r>
      <w:r w:rsidR="00A7646E">
        <w:rPr>
          <w:i/>
          <w:lang w:val="cs-CZ"/>
        </w:rPr>
        <w:t xml:space="preserve"> 2014 až 2018</w:t>
      </w:r>
      <w:r w:rsidRPr="00375A49">
        <w:rPr>
          <w:i/>
          <w:lang w:val="cs-CZ"/>
        </w:rPr>
        <w:t>:</w:t>
      </w:r>
    </w:p>
    <w:p w:rsidR="000F31B0" w:rsidRPr="00375A49" w:rsidRDefault="000F31B0" w:rsidP="000F31B0">
      <w:pPr>
        <w:pStyle w:val="Odstavecseseznamem"/>
        <w:numPr>
          <w:ilvl w:val="0"/>
          <w:numId w:val="4"/>
        </w:numPr>
        <w:spacing w:line="240" w:lineRule="atLeast"/>
        <w:jc w:val="both"/>
        <w:rPr>
          <w:rFonts w:cstheme="minorHAnsi"/>
          <w:i/>
          <w:lang w:val="cs-CZ"/>
        </w:rPr>
      </w:pPr>
      <w:r w:rsidRPr="00375A49">
        <w:rPr>
          <w:rFonts w:cstheme="minorHAnsi"/>
          <w:i/>
          <w:lang w:val="cs-CZ"/>
        </w:rPr>
        <w:t xml:space="preserve">uvede </w:t>
      </w:r>
      <w:r w:rsidR="005E7B3A" w:rsidRPr="00375A49">
        <w:rPr>
          <w:i/>
          <w:lang w:val="cs-CZ"/>
        </w:rPr>
        <w:t>nanejvýš</w:t>
      </w:r>
      <w:r w:rsidR="005E7B3A">
        <w:rPr>
          <w:i/>
          <w:lang w:val="cs-CZ"/>
        </w:rPr>
        <w:t>e</w:t>
      </w:r>
      <w:r w:rsidR="005E7B3A" w:rsidRPr="00375A49" w:rsidDel="005E7B3A">
        <w:rPr>
          <w:rFonts w:cstheme="minorHAnsi"/>
          <w:i/>
          <w:lang w:val="cs-CZ"/>
        </w:rPr>
        <w:t xml:space="preserve"> </w:t>
      </w:r>
      <w:r w:rsidRPr="00375A49">
        <w:rPr>
          <w:rFonts w:cstheme="minorHAnsi"/>
          <w:i/>
          <w:lang w:val="cs-CZ"/>
        </w:rPr>
        <w:t>10 příkladů účasti svých akademických pracovníků v edičních radách mezinárodních vědeckých časopisů (např. editor, člen redakční rady) v příloze (tab. 3.11.1),</w:t>
      </w:r>
    </w:p>
    <w:p w:rsidR="000F31B0" w:rsidRPr="00375A49" w:rsidRDefault="000F31B0" w:rsidP="000F31B0">
      <w:pPr>
        <w:pStyle w:val="Odstavecseseznamem"/>
        <w:numPr>
          <w:ilvl w:val="0"/>
          <w:numId w:val="4"/>
        </w:numPr>
        <w:spacing w:line="240" w:lineRule="atLeast"/>
        <w:jc w:val="both"/>
        <w:rPr>
          <w:rFonts w:cstheme="minorHAnsi"/>
          <w:i/>
          <w:lang w:val="cs-CZ"/>
        </w:rPr>
      </w:pPr>
      <w:r w:rsidRPr="00375A49">
        <w:rPr>
          <w:rFonts w:cstheme="minorHAnsi"/>
          <w:i/>
          <w:lang w:val="cs-CZ"/>
        </w:rPr>
        <w:t xml:space="preserve">uvede </w:t>
      </w:r>
      <w:r w:rsidR="005E7B3A" w:rsidRPr="00375A49">
        <w:rPr>
          <w:i/>
          <w:lang w:val="cs-CZ"/>
        </w:rPr>
        <w:t>nanejvýš</w:t>
      </w:r>
      <w:r w:rsidR="005E7B3A">
        <w:rPr>
          <w:i/>
          <w:lang w:val="cs-CZ"/>
        </w:rPr>
        <w:t>e</w:t>
      </w:r>
      <w:r w:rsidR="005E7B3A" w:rsidRPr="00375A49" w:rsidDel="005E7B3A">
        <w:rPr>
          <w:rFonts w:cstheme="minorHAnsi"/>
          <w:i/>
          <w:lang w:val="cs-CZ"/>
        </w:rPr>
        <w:t xml:space="preserve"> </w:t>
      </w:r>
      <w:r w:rsidRPr="00375A49">
        <w:rPr>
          <w:rFonts w:cstheme="minorHAnsi"/>
          <w:i/>
          <w:lang w:val="cs-CZ"/>
        </w:rPr>
        <w:t>10 příkladů nejvýznamnějších zvaných přednášek akademických pracovníků hodnocené jednotky v zahraničí v příloze (tab. 3.11.2),</w:t>
      </w:r>
    </w:p>
    <w:p w:rsidR="000F31B0" w:rsidRPr="00375A49" w:rsidRDefault="000F31B0" w:rsidP="000F31B0">
      <w:pPr>
        <w:pStyle w:val="Odstavecseseznamem"/>
        <w:numPr>
          <w:ilvl w:val="0"/>
          <w:numId w:val="4"/>
        </w:numPr>
        <w:spacing w:line="240" w:lineRule="atLeast"/>
        <w:jc w:val="both"/>
        <w:rPr>
          <w:rFonts w:cstheme="minorHAnsi"/>
          <w:i/>
          <w:lang w:val="cs-CZ"/>
        </w:rPr>
      </w:pPr>
      <w:r w:rsidRPr="00375A49">
        <w:rPr>
          <w:rFonts w:cstheme="minorHAnsi"/>
          <w:i/>
          <w:lang w:val="cs-CZ"/>
        </w:rPr>
        <w:t xml:space="preserve">uvede </w:t>
      </w:r>
      <w:r w:rsidR="0094795B" w:rsidRPr="00375A49">
        <w:rPr>
          <w:i/>
          <w:lang w:val="cs-CZ"/>
        </w:rPr>
        <w:t>nanejvýš</w:t>
      </w:r>
      <w:r w:rsidR="0094795B">
        <w:rPr>
          <w:i/>
          <w:lang w:val="cs-CZ"/>
        </w:rPr>
        <w:t>e</w:t>
      </w:r>
      <w:r w:rsidR="0094795B" w:rsidRPr="00375A49" w:rsidDel="0094795B">
        <w:rPr>
          <w:rFonts w:cstheme="minorHAnsi"/>
          <w:i/>
          <w:lang w:val="cs-CZ"/>
        </w:rPr>
        <w:t xml:space="preserve"> </w:t>
      </w:r>
      <w:r w:rsidRPr="00375A49">
        <w:rPr>
          <w:rFonts w:cstheme="minorHAnsi"/>
          <w:i/>
          <w:lang w:val="cs-CZ"/>
        </w:rPr>
        <w:t xml:space="preserve">10 příkladů nejvýznamnějších přednášek zahraničních vědců a dalších hostů relevantních pro </w:t>
      </w:r>
      <w:r w:rsidR="00864B45" w:rsidRPr="002461DA">
        <w:rPr>
          <w:rFonts w:cstheme="minorHAnsi"/>
          <w:i/>
          <w:lang w:val="cs-CZ"/>
        </w:rPr>
        <w:t>oblast VaVaI</w:t>
      </w:r>
      <w:r w:rsidRPr="00375A49">
        <w:rPr>
          <w:rFonts w:cstheme="minorHAnsi"/>
          <w:i/>
          <w:lang w:val="cs-CZ"/>
        </w:rPr>
        <w:t xml:space="preserve"> v příloze (tab. 3.11.3),</w:t>
      </w:r>
    </w:p>
    <w:p w:rsidR="000F31B0" w:rsidRPr="00375A49" w:rsidRDefault="000F31B0" w:rsidP="000F31B0">
      <w:pPr>
        <w:pStyle w:val="Odstavecseseznamem"/>
        <w:numPr>
          <w:ilvl w:val="0"/>
          <w:numId w:val="4"/>
        </w:numPr>
        <w:spacing w:line="240" w:lineRule="atLeast"/>
        <w:jc w:val="both"/>
        <w:rPr>
          <w:rFonts w:cstheme="minorHAnsi"/>
          <w:i/>
          <w:lang w:val="cs-CZ"/>
        </w:rPr>
      </w:pPr>
      <w:r w:rsidRPr="00375A49">
        <w:rPr>
          <w:rFonts w:cstheme="minorHAnsi"/>
          <w:i/>
          <w:lang w:val="cs-CZ"/>
        </w:rPr>
        <w:t xml:space="preserve">uvede </w:t>
      </w:r>
      <w:r w:rsidR="0094795B" w:rsidRPr="00375A49">
        <w:rPr>
          <w:i/>
          <w:lang w:val="cs-CZ"/>
        </w:rPr>
        <w:t>nanejvýš</w:t>
      </w:r>
      <w:r w:rsidR="0094795B">
        <w:rPr>
          <w:i/>
          <w:lang w:val="cs-CZ"/>
        </w:rPr>
        <w:t>e</w:t>
      </w:r>
      <w:r w:rsidR="0094795B" w:rsidRPr="00375A49" w:rsidDel="0094795B">
        <w:rPr>
          <w:rFonts w:cstheme="minorHAnsi"/>
          <w:i/>
          <w:lang w:val="cs-CZ"/>
        </w:rPr>
        <w:t xml:space="preserve"> </w:t>
      </w:r>
      <w:r w:rsidRPr="00375A49">
        <w:rPr>
          <w:rFonts w:cstheme="minorHAnsi"/>
          <w:i/>
          <w:lang w:val="cs-CZ"/>
        </w:rPr>
        <w:t>10 příkladů nejvýznamnějších volených členství v odborných společnostech.</w:t>
      </w:r>
    </w:p>
    <w:p w:rsidR="000F31B0" w:rsidRPr="00375A49" w:rsidRDefault="000F31B0" w:rsidP="000F31B0">
      <w:pPr>
        <w:ind w:left="360"/>
        <w:jc w:val="both"/>
        <w:rPr>
          <w:b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POPULARIZACE </w:t>
      </w:r>
      <w:r w:rsidR="00553455">
        <w:rPr>
          <w:rFonts w:cstheme="minorHAnsi"/>
          <w:b/>
          <w:lang w:val="cs-CZ"/>
        </w:rPr>
        <w:t>VAVAI</w:t>
      </w:r>
    </w:p>
    <w:p w:rsidR="000F31B0" w:rsidRPr="00375A49" w:rsidRDefault="000F31B0" w:rsidP="000F31B0">
      <w:pPr>
        <w:ind w:left="360"/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3.12 </w:t>
      </w:r>
      <w:r w:rsidR="005F5F18">
        <w:rPr>
          <w:b/>
          <w:lang w:val="cs-CZ"/>
        </w:rPr>
        <w:t>N</w:t>
      </w:r>
      <w:r w:rsidRPr="00375A49">
        <w:rPr>
          <w:b/>
          <w:lang w:val="cs-CZ"/>
        </w:rPr>
        <w:t>ejvýznamnější aktivit</w:t>
      </w:r>
      <w:r w:rsidR="005F5F18">
        <w:rPr>
          <w:b/>
          <w:lang w:val="cs-CZ"/>
        </w:rPr>
        <w:t>y</w:t>
      </w:r>
      <w:r w:rsidRPr="00375A49">
        <w:rPr>
          <w:b/>
          <w:lang w:val="cs-CZ"/>
        </w:rPr>
        <w:t xml:space="preserve"> v oblasti popularizace </w:t>
      </w:r>
      <w:r w:rsidR="002415C8">
        <w:rPr>
          <w:b/>
          <w:lang w:val="cs-CZ"/>
        </w:rPr>
        <w:t>VaVaI</w:t>
      </w:r>
      <w:r w:rsidRPr="00375A49">
        <w:rPr>
          <w:b/>
          <w:lang w:val="cs-CZ"/>
        </w:rPr>
        <w:t xml:space="preserve"> a komunikace s veřejností 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Hodnocená jednotka stručně popíše svoje hlavní aktivity v oblasti popularizace </w:t>
      </w:r>
      <w:r w:rsidR="002415C8">
        <w:rPr>
          <w:i/>
          <w:lang w:val="cs-CZ"/>
        </w:rPr>
        <w:t>VaVaI</w:t>
      </w:r>
      <w:r w:rsidRPr="00375A49">
        <w:rPr>
          <w:i/>
          <w:lang w:val="cs-CZ"/>
        </w:rPr>
        <w:t xml:space="preserve"> a komunikace s laickou veřejností za hodnocené období </w:t>
      </w:r>
      <w:r w:rsidR="00A7646E">
        <w:rPr>
          <w:i/>
          <w:lang w:val="cs-CZ"/>
        </w:rPr>
        <w:t xml:space="preserve">2014 až 2018 </w:t>
      </w:r>
      <w:r w:rsidRPr="00375A49">
        <w:rPr>
          <w:i/>
          <w:lang w:val="cs-CZ"/>
        </w:rPr>
        <w:t xml:space="preserve">a uvede </w:t>
      </w:r>
      <w:r w:rsidR="0094795B" w:rsidRPr="00375A49">
        <w:rPr>
          <w:i/>
          <w:lang w:val="cs-CZ"/>
        </w:rPr>
        <w:t>nanejvýš</w:t>
      </w:r>
      <w:r w:rsidR="0094795B">
        <w:rPr>
          <w:i/>
          <w:lang w:val="cs-CZ"/>
        </w:rPr>
        <w:t>e</w:t>
      </w:r>
      <w:r w:rsidRPr="00375A49">
        <w:rPr>
          <w:i/>
          <w:lang w:val="cs-CZ"/>
        </w:rPr>
        <w:t xml:space="preserve"> 10 příkladů</w:t>
      </w:r>
      <w:r w:rsidR="003342FC">
        <w:rPr>
          <w:i/>
          <w:lang w:val="cs-CZ"/>
        </w:rPr>
        <w:t>, které pokládá za nejvýznamnější</w:t>
      </w:r>
      <w:r w:rsidRPr="00375A49">
        <w:rPr>
          <w:i/>
          <w:lang w:val="cs-CZ"/>
        </w:rPr>
        <w:t>.</w:t>
      </w: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0F31B0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0F31B0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0F31B0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0F31B0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0F31B0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0F31B0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PŘÍLOHY (TABULKOVÁ ČÁST)</w:t>
      </w:r>
    </w:p>
    <w:p w:rsidR="000F31B0" w:rsidRPr="00375A49" w:rsidRDefault="000F31B0" w:rsidP="000F31B0">
      <w:pPr>
        <w:jc w:val="both"/>
        <w:rPr>
          <w:b/>
          <w:sz w:val="16"/>
          <w:szCs w:val="16"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3.2</w:t>
      </w:r>
      <w:r w:rsidRPr="00375A49">
        <w:rPr>
          <w:b/>
          <w:lang w:val="cs-CZ"/>
        </w:rPr>
        <w:tab/>
        <w:t>Projekty aplikovaného výzkumu</w:t>
      </w: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3.2.1</w:t>
      </w:r>
      <w:r w:rsidRPr="00375A49">
        <w:rPr>
          <w:rFonts w:cstheme="minorHAnsi"/>
          <w:lang w:val="cs-CZ"/>
        </w:rPr>
        <w:tab/>
        <w:t>Projekty podporované poskytovatelem z ČR</w:t>
      </w:r>
    </w:p>
    <w:p w:rsidR="000F31B0" w:rsidRPr="00375A49" w:rsidRDefault="000F31B0" w:rsidP="000F31B0">
      <w:pPr>
        <w:pStyle w:val="Odstavecseseznamem"/>
        <w:spacing w:line="240" w:lineRule="atLeast"/>
        <w:ind w:left="1080"/>
        <w:jc w:val="both"/>
        <w:rPr>
          <w:rFonts w:ascii="Times New Roman" w:hAnsi="Times New Roman" w:cs="Times New Roman"/>
          <w:b/>
          <w:u w:val="single"/>
          <w:lang w:val="cs-CZ"/>
        </w:rPr>
      </w:pPr>
    </w:p>
    <w:tbl>
      <w:tblPr>
        <w:tblStyle w:val="Mkatabulky"/>
        <w:tblW w:w="9197" w:type="dxa"/>
        <w:shd w:val="clear" w:color="auto" w:fill="F2F2F2" w:themeFill="background1" w:themeFillShade="F2"/>
        <w:tblLook w:val="04A0"/>
      </w:tblPr>
      <w:tblGrid>
        <w:gridCol w:w="1413"/>
        <w:gridCol w:w="4383"/>
        <w:gridCol w:w="678"/>
        <w:gridCol w:w="679"/>
        <w:gridCol w:w="679"/>
        <w:gridCol w:w="679"/>
        <w:gridCol w:w="677"/>
        <w:gridCol w:w="9"/>
      </w:tblGrid>
      <w:tr w:rsidR="000F31B0" w:rsidRPr="00375A49" w:rsidTr="00DC1359">
        <w:tc>
          <w:tcPr>
            <w:tcW w:w="9197" w:type="dxa"/>
            <w:gridSpan w:val="8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 roli příjemce</w:t>
            </w:r>
          </w:p>
        </w:tc>
      </w:tr>
      <w:tr w:rsidR="000F31B0" w:rsidRPr="00375A49" w:rsidTr="00A7646E">
        <w:tc>
          <w:tcPr>
            <w:tcW w:w="1413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Poskytovatel</w:t>
            </w:r>
          </w:p>
        </w:tc>
        <w:tc>
          <w:tcPr>
            <w:tcW w:w="4383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3401" w:type="dxa"/>
            <w:gridSpan w:val="6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 xml:space="preserve">Podpora (v tis. Kč) </w:t>
            </w:r>
          </w:p>
        </w:tc>
      </w:tr>
      <w:tr w:rsidR="000F31B0" w:rsidRPr="00375A49" w:rsidTr="00A7646E">
        <w:trPr>
          <w:gridAfter w:val="1"/>
          <w:wAfter w:w="9" w:type="dxa"/>
        </w:trPr>
        <w:tc>
          <w:tcPr>
            <w:tcW w:w="1413" w:type="dxa"/>
            <w:vMerge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83" w:type="dxa"/>
            <w:vMerge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</w:tcPr>
          <w:p w:rsidR="000F31B0" w:rsidRPr="00375A49" w:rsidRDefault="000F31B0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 w:rsidR="00A7646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 w:rsidR="00A7646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 w:rsidR="00A7646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 w:rsidR="00A7646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77" w:type="dxa"/>
            <w:shd w:val="clear" w:color="auto" w:fill="F2F2F2" w:themeFill="background1" w:themeFillShade="F2"/>
          </w:tcPr>
          <w:p w:rsidR="000F31B0" w:rsidRPr="00375A49" w:rsidRDefault="000F31B0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 w:rsidR="00A7646E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0F31B0" w:rsidRPr="00375A49" w:rsidTr="00A7646E">
        <w:trPr>
          <w:gridAfter w:val="1"/>
          <w:wAfter w:w="9" w:type="dxa"/>
        </w:trPr>
        <w:tc>
          <w:tcPr>
            <w:tcW w:w="141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8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A7646E">
        <w:trPr>
          <w:gridAfter w:val="1"/>
          <w:wAfter w:w="9" w:type="dxa"/>
        </w:trPr>
        <w:tc>
          <w:tcPr>
            <w:tcW w:w="141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8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A7646E">
        <w:trPr>
          <w:gridAfter w:val="1"/>
          <w:wAfter w:w="9" w:type="dxa"/>
        </w:trPr>
        <w:tc>
          <w:tcPr>
            <w:tcW w:w="5796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67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9197" w:type="dxa"/>
            <w:gridSpan w:val="8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 roli dalšího účastníka</w:t>
            </w:r>
          </w:p>
        </w:tc>
      </w:tr>
      <w:tr w:rsidR="000F31B0" w:rsidRPr="00375A49" w:rsidTr="00A7646E">
        <w:tc>
          <w:tcPr>
            <w:tcW w:w="1413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Poskytovatel</w:t>
            </w:r>
          </w:p>
        </w:tc>
        <w:tc>
          <w:tcPr>
            <w:tcW w:w="4383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3401" w:type="dxa"/>
            <w:gridSpan w:val="6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Podpora (v tis. Kč)</w:t>
            </w:r>
          </w:p>
        </w:tc>
      </w:tr>
      <w:tr w:rsidR="00A7646E" w:rsidRPr="00375A49" w:rsidTr="00A7646E">
        <w:tc>
          <w:tcPr>
            <w:tcW w:w="1413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83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7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7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7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86" w:type="dxa"/>
            <w:gridSpan w:val="2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0F31B0" w:rsidRPr="00375A49" w:rsidTr="00A7646E">
        <w:tc>
          <w:tcPr>
            <w:tcW w:w="141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8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686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</w:tr>
      <w:tr w:rsidR="000F31B0" w:rsidRPr="00375A49" w:rsidTr="00A7646E">
        <w:tc>
          <w:tcPr>
            <w:tcW w:w="141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8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686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</w:tr>
      <w:tr w:rsidR="000F31B0" w:rsidRPr="00375A49" w:rsidTr="00A7646E">
        <w:tc>
          <w:tcPr>
            <w:tcW w:w="5796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67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686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0F31B0" w:rsidRPr="00375A49" w:rsidRDefault="000F31B0" w:rsidP="000F31B0">
      <w:pPr>
        <w:pStyle w:val="Odstavecseseznamem"/>
        <w:spacing w:line="240" w:lineRule="atLeast"/>
        <w:ind w:left="1080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3.2.2</w:t>
      </w:r>
      <w:r w:rsidRPr="00375A49">
        <w:rPr>
          <w:rFonts w:cstheme="minorHAnsi"/>
          <w:lang w:val="cs-CZ"/>
        </w:rPr>
        <w:tab/>
        <w:t>Projekty podporované zahraničním poskytovatelem</w:t>
      </w:r>
    </w:p>
    <w:p w:rsidR="000F31B0" w:rsidRPr="00375A49" w:rsidRDefault="000F31B0" w:rsidP="000F31B0">
      <w:pPr>
        <w:spacing w:line="240" w:lineRule="atLeast"/>
        <w:jc w:val="both"/>
        <w:rPr>
          <w:rFonts w:ascii="Times New Roman" w:hAnsi="Times New Roman" w:cs="Times New Roman"/>
          <w:b/>
          <w:u w:val="single"/>
          <w:lang w:val="cs-CZ"/>
        </w:rPr>
      </w:pPr>
    </w:p>
    <w:tbl>
      <w:tblPr>
        <w:tblStyle w:val="Mkatabulky"/>
        <w:tblW w:w="9209" w:type="dxa"/>
        <w:shd w:val="clear" w:color="auto" w:fill="F2F2F2" w:themeFill="background1" w:themeFillShade="F2"/>
        <w:tblLayout w:type="fixed"/>
        <w:tblLook w:val="04A0"/>
      </w:tblPr>
      <w:tblGrid>
        <w:gridCol w:w="1414"/>
        <w:gridCol w:w="4393"/>
        <w:gridCol w:w="680"/>
        <w:gridCol w:w="680"/>
        <w:gridCol w:w="681"/>
        <w:gridCol w:w="680"/>
        <w:gridCol w:w="681"/>
      </w:tblGrid>
      <w:tr w:rsidR="000F31B0" w:rsidRPr="00375A49" w:rsidTr="00DC1359">
        <w:tc>
          <w:tcPr>
            <w:tcW w:w="9209" w:type="dxa"/>
            <w:gridSpan w:val="7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 roli příjemce</w:t>
            </w:r>
          </w:p>
        </w:tc>
      </w:tr>
      <w:tr w:rsidR="000F31B0" w:rsidRPr="00375A49" w:rsidTr="00DC1359">
        <w:tc>
          <w:tcPr>
            <w:tcW w:w="1414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Poskytovatel</w:t>
            </w:r>
          </w:p>
        </w:tc>
        <w:tc>
          <w:tcPr>
            <w:tcW w:w="4393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3402" w:type="dxa"/>
            <w:gridSpan w:val="5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Podpora (v tis. Kč)</w:t>
            </w:r>
          </w:p>
        </w:tc>
      </w:tr>
      <w:tr w:rsidR="00A7646E" w:rsidRPr="00375A49" w:rsidTr="00DC1359">
        <w:tc>
          <w:tcPr>
            <w:tcW w:w="1414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81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81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0F31B0" w:rsidRPr="00375A49" w:rsidTr="00DC1359">
        <w:tc>
          <w:tcPr>
            <w:tcW w:w="141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41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5807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9209" w:type="dxa"/>
            <w:gridSpan w:val="7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 roli dalšího účastníka</w:t>
            </w:r>
          </w:p>
        </w:tc>
      </w:tr>
      <w:tr w:rsidR="000F31B0" w:rsidRPr="00375A49" w:rsidTr="00DC1359">
        <w:tc>
          <w:tcPr>
            <w:tcW w:w="1414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Poskytovatel</w:t>
            </w:r>
          </w:p>
        </w:tc>
        <w:tc>
          <w:tcPr>
            <w:tcW w:w="4393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3402" w:type="dxa"/>
            <w:gridSpan w:val="5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Podpora (v tis. Kč)</w:t>
            </w:r>
          </w:p>
        </w:tc>
      </w:tr>
      <w:tr w:rsidR="00A7646E" w:rsidRPr="00375A49" w:rsidTr="00DC1359">
        <w:tc>
          <w:tcPr>
            <w:tcW w:w="1414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81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81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0F31B0" w:rsidRPr="00375A49" w:rsidTr="00DC1359">
        <w:tc>
          <w:tcPr>
            <w:tcW w:w="141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41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5807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6C6E4F" w:rsidRDefault="006C6E4F" w:rsidP="000F31B0">
      <w:pPr>
        <w:spacing w:line="240" w:lineRule="atLeast"/>
        <w:jc w:val="both"/>
        <w:rPr>
          <w:b/>
          <w:lang w:val="cs-CZ"/>
        </w:rPr>
      </w:pPr>
    </w:p>
    <w:p w:rsidR="000F31B0" w:rsidRPr="00375A49" w:rsidRDefault="004F357A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>
        <w:rPr>
          <w:b/>
          <w:lang w:val="cs-CZ"/>
        </w:rPr>
        <w:t>3.3</w:t>
      </w:r>
      <w:r>
        <w:rPr>
          <w:b/>
          <w:lang w:val="cs-CZ"/>
        </w:rPr>
        <w:tab/>
        <w:t>Smluvní výzkum</w:t>
      </w: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3.3.1</w:t>
      </w:r>
      <w:r w:rsidRPr="00375A49">
        <w:rPr>
          <w:rFonts w:cstheme="minorHAnsi"/>
          <w:lang w:val="cs-CZ"/>
        </w:rPr>
        <w:tab/>
        <w:t>Aktivity objednané zadavatelem z ČR</w:t>
      </w:r>
    </w:p>
    <w:p w:rsidR="000F31B0" w:rsidRPr="00375A49" w:rsidRDefault="000F31B0" w:rsidP="000F31B0">
      <w:pPr>
        <w:spacing w:line="240" w:lineRule="atLeast"/>
        <w:jc w:val="both"/>
        <w:rPr>
          <w:rFonts w:ascii="Times New Roman" w:hAnsi="Times New Roman" w:cs="Times New Roman"/>
          <w:lang w:val="cs-CZ"/>
        </w:rPr>
      </w:pPr>
    </w:p>
    <w:tbl>
      <w:tblPr>
        <w:tblStyle w:val="Mkatabulky"/>
        <w:tblW w:w="9209" w:type="dxa"/>
        <w:shd w:val="clear" w:color="auto" w:fill="F2F2F2" w:themeFill="background1" w:themeFillShade="F2"/>
        <w:tblLook w:val="04A0"/>
      </w:tblPr>
      <w:tblGrid>
        <w:gridCol w:w="1405"/>
        <w:gridCol w:w="4171"/>
        <w:gridCol w:w="726"/>
        <w:gridCol w:w="727"/>
        <w:gridCol w:w="726"/>
        <w:gridCol w:w="727"/>
        <w:gridCol w:w="727"/>
      </w:tblGrid>
      <w:tr w:rsidR="000F31B0" w:rsidRPr="00375A49" w:rsidTr="00DC1359">
        <w:tc>
          <w:tcPr>
            <w:tcW w:w="1405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Zadavatel</w:t>
            </w:r>
          </w:p>
        </w:tc>
        <w:tc>
          <w:tcPr>
            <w:tcW w:w="4171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aktivity</w:t>
            </w:r>
          </w:p>
        </w:tc>
        <w:tc>
          <w:tcPr>
            <w:tcW w:w="3633" w:type="dxa"/>
            <w:gridSpan w:val="5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Výnosy (v tis. Kč)</w:t>
            </w:r>
          </w:p>
        </w:tc>
      </w:tr>
      <w:tr w:rsidR="00A7646E" w:rsidRPr="00375A49" w:rsidTr="00DC1359">
        <w:tc>
          <w:tcPr>
            <w:tcW w:w="1405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1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26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0F31B0" w:rsidRPr="00375A49" w:rsidTr="00DC1359">
        <w:tc>
          <w:tcPr>
            <w:tcW w:w="140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40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40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5576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72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503ABF" w:rsidRDefault="00503ABF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0F31B0" w:rsidRPr="00D83B4D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 w:rsidRPr="00375A49">
        <w:rPr>
          <w:rFonts w:cstheme="minorHAnsi"/>
          <w:sz w:val="20"/>
          <w:szCs w:val="20"/>
          <w:lang w:val="cs-CZ"/>
        </w:rPr>
        <w:t>Pozn.: Uveďte a popište aktivity smluvního výzkumu s výnosem v daném kalendářním roce</w:t>
      </w:r>
      <w:r w:rsidR="006F43B8">
        <w:rPr>
          <w:rFonts w:cstheme="minorHAnsi"/>
          <w:sz w:val="20"/>
          <w:szCs w:val="20"/>
          <w:lang w:val="cs-CZ"/>
        </w:rPr>
        <w:t>.</w:t>
      </w:r>
    </w:p>
    <w:p w:rsidR="00503ABF" w:rsidRDefault="00503ABF" w:rsidP="000F31B0">
      <w:pPr>
        <w:spacing w:line="240" w:lineRule="atLeast"/>
        <w:jc w:val="both"/>
        <w:rPr>
          <w:rFonts w:cstheme="minorHAnsi"/>
          <w:lang w:val="cs-CZ"/>
        </w:rPr>
      </w:pPr>
    </w:p>
    <w:p w:rsidR="00503ABF" w:rsidRDefault="00503ABF" w:rsidP="000F31B0">
      <w:pPr>
        <w:spacing w:line="240" w:lineRule="atLeast"/>
        <w:jc w:val="both"/>
        <w:rPr>
          <w:rFonts w:cstheme="minorHAnsi"/>
          <w:lang w:val="cs-CZ"/>
        </w:rPr>
      </w:pPr>
    </w:p>
    <w:p w:rsidR="00503ABF" w:rsidRDefault="00503ABF" w:rsidP="000F31B0">
      <w:pPr>
        <w:spacing w:line="240" w:lineRule="atLeast"/>
        <w:jc w:val="both"/>
        <w:rPr>
          <w:rFonts w:cstheme="minorHAnsi"/>
          <w:lang w:val="cs-CZ"/>
        </w:rPr>
      </w:pPr>
    </w:p>
    <w:p w:rsidR="00503ABF" w:rsidRDefault="00503ABF" w:rsidP="000F31B0">
      <w:pPr>
        <w:spacing w:line="240" w:lineRule="atLeast"/>
        <w:jc w:val="both"/>
        <w:rPr>
          <w:rFonts w:cstheme="minorHAnsi"/>
          <w:lang w:val="cs-CZ"/>
        </w:rPr>
      </w:pPr>
    </w:p>
    <w:p w:rsidR="00503ABF" w:rsidRDefault="00503ABF" w:rsidP="000F31B0">
      <w:pPr>
        <w:spacing w:line="240" w:lineRule="atLeast"/>
        <w:jc w:val="both"/>
        <w:rPr>
          <w:rFonts w:cstheme="minorHAnsi"/>
          <w:lang w:val="cs-CZ"/>
        </w:rPr>
      </w:pPr>
    </w:p>
    <w:p w:rsidR="00503ABF" w:rsidRDefault="00503ABF" w:rsidP="000F31B0">
      <w:pPr>
        <w:spacing w:line="240" w:lineRule="atLeast"/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3.3.2</w:t>
      </w:r>
      <w:r w:rsidRPr="00375A49">
        <w:rPr>
          <w:rFonts w:cstheme="minorHAnsi"/>
          <w:lang w:val="cs-CZ"/>
        </w:rPr>
        <w:tab/>
        <w:t>Aktivity objednané zahraničním zadavatelem</w:t>
      </w: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tbl>
      <w:tblPr>
        <w:tblStyle w:val="Mkatabulky"/>
        <w:tblW w:w="9209" w:type="dxa"/>
        <w:shd w:val="clear" w:color="auto" w:fill="F2F2F2" w:themeFill="background1" w:themeFillShade="F2"/>
        <w:tblLook w:val="04A0"/>
      </w:tblPr>
      <w:tblGrid>
        <w:gridCol w:w="1396"/>
        <w:gridCol w:w="4220"/>
        <w:gridCol w:w="718"/>
        <w:gridCol w:w="719"/>
        <w:gridCol w:w="718"/>
        <w:gridCol w:w="719"/>
        <w:gridCol w:w="719"/>
      </w:tblGrid>
      <w:tr w:rsidR="000F31B0" w:rsidRPr="00375A49" w:rsidTr="00DC1359">
        <w:tc>
          <w:tcPr>
            <w:tcW w:w="1396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Zadavatel</w:t>
            </w:r>
          </w:p>
        </w:tc>
        <w:tc>
          <w:tcPr>
            <w:tcW w:w="4220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aktivity</w:t>
            </w:r>
          </w:p>
        </w:tc>
        <w:tc>
          <w:tcPr>
            <w:tcW w:w="3593" w:type="dxa"/>
            <w:gridSpan w:val="5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Výnosy (v tis. Kč)</w:t>
            </w:r>
          </w:p>
        </w:tc>
      </w:tr>
      <w:tr w:rsidR="00A7646E" w:rsidRPr="00375A49" w:rsidTr="00DC1359">
        <w:tc>
          <w:tcPr>
            <w:tcW w:w="1396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0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1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0F31B0" w:rsidRPr="00375A49" w:rsidTr="00DC1359">
        <w:tc>
          <w:tcPr>
            <w:tcW w:w="139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2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39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2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39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2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39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2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5616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71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0F31B0" w:rsidRPr="00375A49" w:rsidRDefault="000F31B0" w:rsidP="000F31B0">
      <w:pPr>
        <w:spacing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 w:rsidRPr="00375A49">
        <w:rPr>
          <w:rFonts w:cstheme="minorHAnsi"/>
          <w:sz w:val="20"/>
          <w:szCs w:val="20"/>
          <w:lang w:val="cs-CZ"/>
        </w:rPr>
        <w:t>Pozn.: Uveďte a popište aktivity smluvního výzkumu s výnosem v daném kalendářním roce</w:t>
      </w:r>
      <w:r w:rsidR="006F43B8">
        <w:rPr>
          <w:rFonts w:cstheme="minorHAnsi"/>
          <w:sz w:val="20"/>
          <w:szCs w:val="20"/>
          <w:lang w:val="cs-CZ"/>
        </w:rPr>
        <w:t>.</w:t>
      </w:r>
    </w:p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3.4</w:t>
      </w:r>
      <w:r w:rsidRPr="00375A49">
        <w:rPr>
          <w:b/>
          <w:lang w:val="cs-CZ"/>
        </w:rPr>
        <w:tab/>
        <w:t xml:space="preserve">Výnosy z neveřejných zdrojů (mimo </w:t>
      </w:r>
      <w:r w:rsidR="004B3C3A">
        <w:rPr>
          <w:b/>
          <w:lang w:val="cs-CZ"/>
        </w:rPr>
        <w:t xml:space="preserve">granty nebo </w:t>
      </w:r>
      <w:r w:rsidRPr="00375A49">
        <w:rPr>
          <w:b/>
          <w:lang w:val="cs-CZ"/>
        </w:rPr>
        <w:t>smluvní výzkum)</w:t>
      </w: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3.4.1</w:t>
      </w:r>
      <w:r w:rsidRPr="00375A49">
        <w:rPr>
          <w:rFonts w:cstheme="minorHAnsi"/>
          <w:lang w:val="cs-CZ"/>
        </w:rPr>
        <w:tab/>
        <w:t>Přehled výnosů z neveřejných zdrojů získaných za hodnocené období</w:t>
      </w:r>
      <w:r w:rsidR="00A7646E">
        <w:rPr>
          <w:rFonts w:cstheme="minorHAnsi"/>
          <w:lang w:val="cs-CZ"/>
        </w:rPr>
        <w:t xml:space="preserve"> 2014 až 2018</w:t>
      </w:r>
      <w:r w:rsidRPr="00375A49">
        <w:rPr>
          <w:rFonts w:cstheme="minorHAnsi"/>
          <w:lang w:val="cs-CZ"/>
        </w:rPr>
        <w:t xml:space="preserve"> </w:t>
      </w:r>
    </w:p>
    <w:p w:rsidR="000F31B0" w:rsidRPr="00375A49" w:rsidRDefault="000F31B0" w:rsidP="000F31B0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  <w:lang w:val="cs-CZ"/>
        </w:rPr>
      </w:pPr>
    </w:p>
    <w:tbl>
      <w:tblPr>
        <w:tblStyle w:val="Mkatabulky"/>
        <w:tblW w:w="9209" w:type="dxa"/>
        <w:shd w:val="clear" w:color="auto" w:fill="F2F2F2" w:themeFill="background1" w:themeFillShade="F2"/>
        <w:tblLook w:val="04A0"/>
      </w:tblPr>
      <w:tblGrid>
        <w:gridCol w:w="5665"/>
        <w:gridCol w:w="708"/>
        <w:gridCol w:w="709"/>
        <w:gridCol w:w="709"/>
        <w:gridCol w:w="709"/>
        <w:gridCol w:w="709"/>
      </w:tblGrid>
      <w:tr w:rsidR="000F31B0" w:rsidRPr="00375A49" w:rsidTr="00DC1359">
        <w:tc>
          <w:tcPr>
            <w:tcW w:w="5665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Druh výnosu</w:t>
            </w:r>
          </w:p>
        </w:tc>
        <w:tc>
          <w:tcPr>
            <w:tcW w:w="3544" w:type="dxa"/>
            <w:gridSpan w:val="5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Výnosy (v tis. Kč)</w:t>
            </w:r>
          </w:p>
        </w:tc>
      </w:tr>
      <w:tr w:rsidR="00A7646E" w:rsidRPr="00375A49" w:rsidTr="00DC1359">
        <w:tc>
          <w:tcPr>
            <w:tcW w:w="5665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0F31B0" w:rsidRPr="00375A49" w:rsidTr="00DC1359">
        <w:tc>
          <w:tcPr>
            <w:tcW w:w="566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566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56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56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0F31B0" w:rsidRPr="00375A49" w:rsidRDefault="000F31B0" w:rsidP="000F31B0">
      <w:pPr>
        <w:jc w:val="both"/>
        <w:rPr>
          <w:sz w:val="20"/>
          <w:szCs w:val="20"/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 w:rsidRPr="00375A49">
        <w:rPr>
          <w:rFonts w:cstheme="minorHAnsi"/>
          <w:sz w:val="20"/>
          <w:szCs w:val="20"/>
          <w:lang w:val="cs-CZ"/>
        </w:rPr>
        <w:t xml:space="preserve">Pozn.: Uveďte finanční prostředky získané na </w:t>
      </w:r>
      <w:r w:rsidR="00616315">
        <w:rPr>
          <w:rFonts w:cstheme="minorHAnsi"/>
          <w:sz w:val="20"/>
          <w:szCs w:val="20"/>
          <w:lang w:val="cs-CZ"/>
        </w:rPr>
        <w:t>VaVaI</w:t>
      </w:r>
      <w:r w:rsidRPr="00375A49">
        <w:rPr>
          <w:rFonts w:cstheme="minorHAnsi"/>
          <w:sz w:val="20"/>
          <w:szCs w:val="20"/>
          <w:lang w:val="cs-CZ"/>
        </w:rPr>
        <w:t xml:space="preserve"> z neveřejných </w:t>
      </w:r>
      <w:r w:rsidR="005A7BE0">
        <w:rPr>
          <w:rFonts w:cstheme="minorHAnsi"/>
          <w:sz w:val="20"/>
          <w:szCs w:val="20"/>
          <w:lang w:val="cs-CZ"/>
        </w:rPr>
        <w:t xml:space="preserve">zdrojů </w:t>
      </w:r>
      <w:r w:rsidRPr="00375A49">
        <w:rPr>
          <w:rFonts w:cstheme="minorHAnsi"/>
          <w:sz w:val="20"/>
          <w:szCs w:val="20"/>
          <w:lang w:val="cs-CZ"/>
        </w:rPr>
        <w:t>mimo grant</w:t>
      </w:r>
      <w:r w:rsidR="004B3C3A">
        <w:rPr>
          <w:rFonts w:cstheme="minorHAnsi"/>
          <w:sz w:val="20"/>
          <w:szCs w:val="20"/>
          <w:lang w:val="cs-CZ"/>
        </w:rPr>
        <w:t>y</w:t>
      </w:r>
      <w:r w:rsidRPr="00375A49">
        <w:rPr>
          <w:rFonts w:cstheme="minorHAnsi"/>
          <w:sz w:val="20"/>
          <w:szCs w:val="20"/>
          <w:lang w:val="cs-CZ"/>
        </w:rPr>
        <w:t xml:space="preserve"> </w:t>
      </w:r>
      <w:r w:rsidR="005A7BE0">
        <w:rPr>
          <w:rFonts w:cstheme="minorHAnsi"/>
          <w:sz w:val="20"/>
          <w:szCs w:val="20"/>
          <w:lang w:val="cs-CZ"/>
        </w:rPr>
        <w:t xml:space="preserve">nebo </w:t>
      </w:r>
      <w:r w:rsidRPr="00375A49">
        <w:rPr>
          <w:rFonts w:cstheme="minorHAnsi"/>
          <w:sz w:val="20"/>
          <w:szCs w:val="20"/>
          <w:lang w:val="cs-CZ"/>
        </w:rPr>
        <w:t>smluvní výzkum (např. prodané licence, výnosy spin-off firem, dary atd.) v daném kalendářním roce.</w:t>
      </w:r>
    </w:p>
    <w:p w:rsidR="000F31B0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3.5</w:t>
      </w:r>
      <w:r w:rsidRPr="00375A49">
        <w:rPr>
          <w:b/>
          <w:lang w:val="cs-CZ"/>
        </w:rPr>
        <w:tab/>
        <w:t>Významné výsledky aplikovaného výzkumu</w:t>
      </w:r>
      <w:r w:rsidR="00616315">
        <w:rPr>
          <w:b/>
          <w:lang w:val="cs-CZ"/>
        </w:rPr>
        <w:t xml:space="preserve"> s </w:t>
      </w:r>
      <w:r w:rsidRPr="00375A49">
        <w:rPr>
          <w:b/>
          <w:lang w:val="cs-CZ"/>
        </w:rPr>
        <w:t>ekonomickým dopadem na společnost</w:t>
      </w:r>
    </w:p>
    <w:p w:rsidR="000F31B0" w:rsidRPr="00375A49" w:rsidRDefault="000F31B0" w:rsidP="000F31B0">
      <w:pPr>
        <w:jc w:val="both"/>
        <w:rPr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3.5.1</w:t>
      </w:r>
      <w:r w:rsidRPr="00375A49">
        <w:rPr>
          <w:rFonts w:cstheme="minorHAnsi"/>
          <w:lang w:val="cs-CZ"/>
        </w:rPr>
        <w:tab/>
        <w:t>Přehled výsledků aplikovaného výzkumu za hodnocené období</w:t>
      </w:r>
      <w:r w:rsidR="00A7646E">
        <w:rPr>
          <w:rFonts w:cstheme="minorHAnsi"/>
          <w:lang w:val="cs-CZ"/>
        </w:rPr>
        <w:t xml:space="preserve"> </w:t>
      </w:r>
      <w:r w:rsidR="00A7646E" w:rsidRPr="00A7646E">
        <w:rPr>
          <w:rFonts w:cstheme="minorHAnsi"/>
          <w:lang w:val="cs-CZ"/>
        </w:rPr>
        <w:t>2014</w:t>
      </w:r>
      <w:r w:rsidR="00A7646E">
        <w:rPr>
          <w:rFonts w:cstheme="minorHAnsi"/>
          <w:lang w:val="cs-CZ"/>
        </w:rPr>
        <w:t xml:space="preserve"> až </w:t>
      </w:r>
      <w:r w:rsidR="00A7646E" w:rsidRPr="00A7646E">
        <w:rPr>
          <w:rFonts w:cstheme="minorHAnsi"/>
          <w:lang w:val="cs-CZ"/>
        </w:rPr>
        <w:t>2018</w:t>
      </w: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0F31B0" w:rsidRPr="00D57803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 w:rsidRPr="00375A49">
        <w:rPr>
          <w:rFonts w:cstheme="minorHAnsi"/>
          <w:sz w:val="20"/>
          <w:szCs w:val="20"/>
          <w:lang w:val="cs-CZ"/>
        </w:rPr>
        <w:t xml:space="preserve">Pozn.: Uveďte a popište výsledky již uplatněné v praxi nebo reálně směřující k uplatnění v praxi s existujícím nebo perspektivním ekonomickým dopadem na společnost. </w:t>
      </w:r>
      <w:r w:rsidR="008E4B1E">
        <w:rPr>
          <w:rFonts w:cstheme="minorHAnsi"/>
          <w:sz w:val="20"/>
          <w:szCs w:val="20"/>
          <w:lang w:val="cs-CZ"/>
        </w:rPr>
        <w:t>U výsledku „patenty“ a „prodané licence“</w:t>
      </w:r>
      <w:r w:rsidRPr="00375A49">
        <w:rPr>
          <w:rFonts w:cstheme="minorHAnsi"/>
          <w:sz w:val="20"/>
          <w:szCs w:val="20"/>
          <w:lang w:val="cs-CZ"/>
        </w:rPr>
        <w:t xml:space="preserve"> uveďte všechny</w:t>
      </w:r>
      <w:r w:rsidR="008E4B1E">
        <w:rPr>
          <w:rFonts w:cstheme="minorHAnsi"/>
          <w:sz w:val="20"/>
          <w:szCs w:val="20"/>
          <w:lang w:val="cs-CZ"/>
        </w:rPr>
        <w:t xml:space="preserve"> </w:t>
      </w:r>
      <w:r w:rsidR="00855E9E">
        <w:rPr>
          <w:rFonts w:cstheme="minorHAnsi"/>
          <w:sz w:val="20"/>
          <w:szCs w:val="20"/>
          <w:lang w:val="cs-CZ"/>
        </w:rPr>
        <w:t>výsledky</w:t>
      </w:r>
      <w:r w:rsidRPr="00375A49">
        <w:rPr>
          <w:rFonts w:cstheme="minorHAnsi"/>
          <w:sz w:val="20"/>
          <w:szCs w:val="20"/>
          <w:lang w:val="cs-CZ"/>
        </w:rPr>
        <w:t xml:space="preserve">, u ostatních výsledků </w:t>
      </w:r>
      <w:r w:rsidR="0094795B" w:rsidRPr="00D57803">
        <w:rPr>
          <w:i/>
          <w:sz w:val="20"/>
          <w:szCs w:val="20"/>
          <w:lang w:val="cs-CZ"/>
        </w:rPr>
        <w:t>nanejvýše</w:t>
      </w:r>
      <w:r w:rsidR="0094795B" w:rsidRPr="00D57803" w:rsidDel="0094795B">
        <w:rPr>
          <w:rFonts w:cstheme="minorHAnsi"/>
          <w:sz w:val="20"/>
          <w:szCs w:val="20"/>
          <w:lang w:val="cs-CZ"/>
        </w:rPr>
        <w:t xml:space="preserve"> </w:t>
      </w:r>
      <w:r w:rsidRPr="00D57803">
        <w:rPr>
          <w:rFonts w:cstheme="minorHAnsi"/>
          <w:sz w:val="20"/>
          <w:szCs w:val="20"/>
          <w:lang w:val="cs-CZ"/>
        </w:rPr>
        <w:t>5 položek.</w:t>
      </w:r>
      <w:r w:rsidR="00855E9E">
        <w:rPr>
          <w:rFonts w:cstheme="minorHAnsi"/>
          <w:sz w:val="20"/>
          <w:szCs w:val="20"/>
          <w:lang w:val="cs-CZ"/>
        </w:rPr>
        <w:t xml:space="preserve"> Není-li dále stanoveno jinak, definice výsledku musí odpovídat definici dle Přílohy č. 4 Metodiky hodnocení výzkumných organizací a hodnocení programů účelové podpory výzkumu, vývoje a inovací, Definice druhů výsledků.</w:t>
      </w:r>
    </w:p>
    <w:p w:rsidR="000F31B0" w:rsidRPr="00375A49" w:rsidRDefault="000F31B0" w:rsidP="000F31B0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  <w:lang w:val="cs-CZ"/>
        </w:rPr>
      </w:pPr>
    </w:p>
    <w:tbl>
      <w:tblPr>
        <w:tblStyle w:val="Mkatabulky"/>
        <w:tblW w:w="9209" w:type="dxa"/>
        <w:shd w:val="clear" w:color="auto" w:fill="F2F2F2" w:themeFill="background1" w:themeFillShade="F2"/>
        <w:tblLook w:val="04A0"/>
      </w:tblPr>
      <w:tblGrid>
        <w:gridCol w:w="3539"/>
        <w:gridCol w:w="992"/>
        <w:gridCol w:w="4678"/>
      </w:tblGrid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 xml:space="preserve"> </w:t>
            </w:r>
            <w:r w:rsidR="00BC24AD">
              <w:rPr>
                <w:rFonts w:cstheme="minorHAnsi"/>
                <w:sz w:val="20"/>
                <w:szCs w:val="20"/>
              </w:rPr>
              <w:t>V</w:t>
            </w:r>
            <w:r w:rsidRPr="00375A49">
              <w:rPr>
                <w:rFonts w:cstheme="minorHAnsi"/>
                <w:sz w:val="20"/>
                <w:szCs w:val="20"/>
              </w:rPr>
              <w:t>ýsledk</w:t>
            </w:r>
            <w:r w:rsidR="00BC24AD">
              <w:rPr>
                <w:rFonts w:cstheme="minorHAnsi"/>
                <w:sz w:val="20"/>
                <w:szCs w:val="20"/>
              </w:rPr>
              <w:t>y</w:t>
            </w:r>
          </w:p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uplatnění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</w:t>
            </w: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Patent evropský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Patent americký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Patent český</w:t>
            </w:r>
            <w:r>
              <w:rPr>
                <w:rFonts w:cstheme="minorHAnsi"/>
                <w:sz w:val="20"/>
                <w:szCs w:val="20"/>
              </w:rPr>
              <w:t xml:space="preserve"> licencovaný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06E66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06E66" w:rsidRPr="00375A49" w:rsidRDefault="00106E66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06E66" w:rsidRPr="00375A49" w:rsidRDefault="00106E66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06E66" w:rsidRPr="00375A49" w:rsidRDefault="00106E66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06E66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06E66" w:rsidRPr="00375A49" w:rsidRDefault="00106E66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Ostatní zahraniční patenty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06E66" w:rsidRPr="00375A49" w:rsidRDefault="00106E66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06E66" w:rsidRPr="00375A49" w:rsidRDefault="00106E66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Prodaná licence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Významné analýzy / průzkumy / rozbory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 xml:space="preserve">Spin-off s podílem </w:t>
            </w:r>
            <w:r>
              <w:rPr>
                <w:rFonts w:cstheme="minorHAnsi"/>
                <w:sz w:val="20"/>
                <w:szCs w:val="20"/>
              </w:rPr>
              <w:t>hodnocené jednotk</w:t>
            </w:r>
            <w:r w:rsidRPr="00375A49">
              <w:rPr>
                <w:rFonts w:cstheme="minorHAnsi"/>
                <w:sz w:val="20"/>
                <w:szCs w:val="20"/>
              </w:rPr>
              <w:t>y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Spin-off bez podílu hodnocené jednotk</w:t>
            </w:r>
            <w:r w:rsidRPr="00375A49">
              <w:rPr>
                <w:rFonts w:cstheme="minorHAnsi"/>
                <w:sz w:val="20"/>
                <w:szCs w:val="20"/>
              </w:rPr>
              <w:t>y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Prototypy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Odrůdy a plemena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416E" w:rsidRPr="00375A49" w:rsidTr="0017416E">
        <w:tc>
          <w:tcPr>
            <w:tcW w:w="3539" w:type="dxa"/>
            <w:shd w:val="clear" w:color="auto" w:fill="F2F2F2" w:themeFill="background1" w:themeFillShade="F2"/>
          </w:tcPr>
          <w:p w:rsidR="0017416E" w:rsidRPr="00375A49" w:rsidRDefault="0017416E" w:rsidP="00A27AAD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 xml:space="preserve">Jiné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17416E" w:rsidRPr="00375A49" w:rsidRDefault="0017416E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6F43B8" w:rsidRDefault="006F43B8" w:rsidP="000F31B0">
      <w:pPr>
        <w:jc w:val="both"/>
        <w:rPr>
          <w:rFonts w:cstheme="minorHAnsi"/>
          <w:sz w:val="20"/>
          <w:szCs w:val="20"/>
          <w:lang w:val="cs-CZ"/>
        </w:rPr>
      </w:pPr>
    </w:p>
    <w:p w:rsidR="003475C7" w:rsidRPr="001076AD" w:rsidRDefault="003475C7" w:rsidP="000F31B0">
      <w:pPr>
        <w:jc w:val="both"/>
        <w:rPr>
          <w:rFonts w:cstheme="minorHAnsi"/>
          <w:sz w:val="20"/>
          <w:szCs w:val="20"/>
          <w:lang w:val="cs-CZ"/>
        </w:rPr>
      </w:pPr>
      <w:r w:rsidRPr="001076AD">
        <w:rPr>
          <w:rFonts w:cstheme="minorHAnsi"/>
          <w:sz w:val="20"/>
          <w:szCs w:val="20"/>
          <w:lang w:val="cs-CZ"/>
        </w:rPr>
        <w:t>Pozn.</w:t>
      </w:r>
      <w:r w:rsidR="001B6370">
        <w:rPr>
          <w:rFonts w:cstheme="minorHAnsi"/>
          <w:sz w:val="20"/>
          <w:szCs w:val="20"/>
          <w:lang w:val="cs-CZ"/>
        </w:rPr>
        <w:t>:</w:t>
      </w:r>
      <w:r w:rsidRPr="001076AD">
        <w:rPr>
          <w:rFonts w:cstheme="minorHAnsi"/>
          <w:sz w:val="20"/>
          <w:szCs w:val="20"/>
          <w:lang w:val="cs-CZ"/>
        </w:rPr>
        <w:t xml:space="preserve"> Licencí se rozumí licence v nejš</w:t>
      </w:r>
      <w:r w:rsidR="001076AD">
        <w:rPr>
          <w:rFonts w:cstheme="minorHAnsi"/>
          <w:sz w:val="20"/>
          <w:szCs w:val="20"/>
          <w:lang w:val="cs-CZ"/>
        </w:rPr>
        <w:t>i</w:t>
      </w:r>
      <w:r w:rsidRPr="001076AD">
        <w:rPr>
          <w:rFonts w:cstheme="minorHAnsi"/>
          <w:sz w:val="20"/>
          <w:szCs w:val="20"/>
          <w:lang w:val="cs-CZ"/>
        </w:rPr>
        <w:t>rším pojetí licence k výsledku VaVaI (licence k patentům, užitným vzorům, průmyslovým vzorům, autorskoprávní licence k software a jiným autorským dílům, případně další).</w:t>
      </w:r>
    </w:p>
    <w:p w:rsidR="003475C7" w:rsidRDefault="008E4B1E" w:rsidP="000F31B0">
      <w:pPr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 xml:space="preserve">            </w:t>
      </w:r>
      <w:r w:rsidR="006B0916">
        <w:rPr>
          <w:rFonts w:cstheme="minorHAnsi"/>
          <w:sz w:val="20"/>
          <w:szCs w:val="20"/>
          <w:lang w:val="cs-CZ"/>
        </w:rPr>
        <w:t>Spin-</w:t>
      </w:r>
      <w:r w:rsidR="003475C7" w:rsidRPr="001076AD">
        <w:rPr>
          <w:rFonts w:cstheme="minorHAnsi"/>
          <w:sz w:val="20"/>
          <w:szCs w:val="20"/>
          <w:lang w:val="cs-CZ"/>
        </w:rPr>
        <w:t>off se pro účely této metodiky rozumí právnická osoba založená za účelem komercializace poznatku zpravidla s vložením/převodem práv k poznatku do takové právnické osoby</w:t>
      </w:r>
      <w:r w:rsidR="003475C7">
        <w:rPr>
          <w:rFonts w:cstheme="minorHAnsi"/>
          <w:sz w:val="20"/>
          <w:szCs w:val="20"/>
          <w:lang w:val="cs-CZ"/>
        </w:rPr>
        <w:t>.</w:t>
      </w:r>
      <w:r w:rsidR="001076AD">
        <w:rPr>
          <w:rFonts w:cstheme="minorHAnsi"/>
          <w:sz w:val="20"/>
          <w:szCs w:val="20"/>
          <w:lang w:val="cs-CZ"/>
        </w:rPr>
        <w:t xml:space="preserve"> Uve</w:t>
      </w:r>
      <w:r w:rsidR="001B6370">
        <w:rPr>
          <w:rFonts w:cstheme="minorHAnsi"/>
          <w:sz w:val="20"/>
          <w:szCs w:val="20"/>
          <w:lang w:val="cs-CZ"/>
        </w:rPr>
        <w:t>ďte</w:t>
      </w:r>
      <w:r w:rsidR="001076AD">
        <w:rPr>
          <w:rFonts w:cstheme="minorHAnsi"/>
          <w:sz w:val="20"/>
          <w:szCs w:val="20"/>
          <w:lang w:val="cs-CZ"/>
        </w:rPr>
        <w:t xml:space="preserve"> všechny případy právnických osob.</w:t>
      </w:r>
    </w:p>
    <w:p w:rsidR="001076AD" w:rsidRPr="001076AD" w:rsidRDefault="001076AD" w:rsidP="000F31B0">
      <w:pPr>
        <w:jc w:val="both"/>
        <w:rPr>
          <w:rFonts w:cstheme="minorHAnsi"/>
          <w:sz w:val="20"/>
          <w:szCs w:val="20"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3.6</w:t>
      </w:r>
      <w:r w:rsidRPr="00375A49">
        <w:rPr>
          <w:b/>
          <w:lang w:val="cs-CZ"/>
        </w:rPr>
        <w:tab/>
        <w:t>Významné výsledky aplikovaného výzkumu s jiným než ekonomickým dopadem na společnost</w:t>
      </w:r>
    </w:p>
    <w:p w:rsidR="000F31B0" w:rsidRPr="00375A49" w:rsidRDefault="000F31B0" w:rsidP="000F31B0">
      <w:pPr>
        <w:jc w:val="both"/>
        <w:rPr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3.6.1</w:t>
      </w:r>
      <w:r w:rsidRPr="00375A49">
        <w:rPr>
          <w:rFonts w:cstheme="minorHAnsi"/>
          <w:lang w:val="cs-CZ"/>
        </w:rPr>
        <w:tab/>
        <w:t xml:space="preserve">Přehled výsledků aplikovaného výzkumu za hodnocené období </w:t>
      </w:r>
      <w:r w:rsidR="00A7646E">
        <w:rPr>
          <w:rFonts w:cstheme="minorHAnsi"/>
          <w:lang w:val="cs-CZ"/>
        </w:rPr>
        <w:t xml:space="preserve">2014 až 2018 </w:t>
      </w:r>
      <w:r w:rsidRPr="00375A49">
        <w:rPr>
          <w:rFonts w:cstheme="minorHAnsi"/>
          <w:lang w:val="cs-CZ"/>
        </w:rPr>
        <w:t>s jiným než ekonomickým dopadem na společnost</w:t>
      </w:r>
    </w:p>
    <w:p w:rsidR="000F31B0" w:rsidRPr="00375A49" w:rsidRDefault="000F31B0" w:rsidP="000F31B0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  <w:lang w:val="cs-CZ"/>
        </w:rPr>
      </w:pPr>
    </w:p>
    <w:tbl>
      <w:tblPr>
        <w:tblStyle w:val="Mkatabulky"/>
        <w:tblW w:w="9209" w:type="dxa"/>
        <w:shd w:val="clear" w:color="auto" w:fill="F2F2F2" w:themeFill="background1" w:themeFillShade="F2"/>
        <w:tblLook w:val="04A0"/>
      </w:tblPr>
      <w:tblGrid>
        <w:gridCol w:w="1555"/>
        <w:gridCol w:w="3260"/>
        <w:gridCol w:w="4394"/>
      </w:tblGrid>
      <w:tr w:rsidR="000F31B0" w:rsidRPr="00375A49" w:rsidTr="00DC1359">
        <w:tc>
          <w:tcPr>
            <w:tcW w:w="155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Druh výsledku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Předpokládaný dopad</w:t>
            </w:r>
          </w:p>
        </w:tc>
      </w:tr>
      <w:tr w:rsidR="000F31B0" w:rsidRPr="00375A49" w:rsidTr="00DC1359">
        <w:tc>
          <w:tcPr>
            <w:tcW w:w="155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55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55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55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55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0F31B0" w:rsidRPr="00375A49" w:rsidRDefault="000F31B0" w:rsidP="000F31B0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 w:rsidRPr="00375A49">
        <w:rPr>
          <w:rFonts w:cstheme="minorHAnsi"/>
          <w:sz w:val="20"/>
          <w:szCs w:val="20"/>
          <w:lang w:val="cs-CZ"/>
        </w:rPr>
        <w:t xml:space="preserve">Pozn.: Uveďte a popište </w:t>
      </w:r>
      <w:r w:rsidR="00821DDA" w:rsidRPr="00B570E3">
        <w:rPr>
          <w:rFonts w:cstheme="minorHAnsi"/>
          <w:sz w:val="20"/>
          <w:szCs w:val="20"/>
          <w:lang w:val="cs-CZ"/>
        </w:rPr>
        <w:t>nanejvýše</w:t>
      </w:r>
      <w:r w:rsidR="00821DDA" w:rsidRPr="00375A49" w:rsidDel="00821DDA">
        <w:rPr>
          <w:rFonts w:cstheme="minorHAnsi"/>
          <w:sz w:val="20"/>
          <w:szCs w:val="20"/>
          <w:lang w:val="cs-CZ"/>
        </w:rPr>
        <w:t xml:space="preserve"> </w:t>
      </w:r>
      <w:r w:rsidR="00D83B4D">
        <w:rPr>
          <w:rFonts w:cstheme="minorHAnsi"/>
          <w:sz w:val="20"/>
          <w:szCs w:val="20"/>
          <w:lang w:val="cs-CZ"/>
        </w:rPr>
        <w:t>5 výsledků (</w:t>
      </w:r>
      <w:r w:rsidRPr="00375A49">
        <w:rPr>
          <w:rFonts w:cstheme="minorHAnsi"/>
          <w:sz w:val="20"/>
          <w:szCs w:val="20"/>
          <w:lang w:val="cs-CZ"/>
        </w:rPr>
        <w:t>druh výsledku podle Definice druhů výsledků) již uplatněných v praxi nebo reálně směřujících k uplatnění v praxi. Typicky se jedná o výsledky humanitních a společenskovědních oborů</w:t>
      </w:r>
      <w:r w:rsidR="00774C2C">
        <w:rPr>
          <w:rFonts w:cstheme="minorHAnsi"/>
          <w:sz w:val="20"/>
          <w:szCs w:val="20"/>
          <w:lang w:val="cs-CZ"/>
        </w:rPr>
        <w:t>,</w:t>
      </w:r>
      <w:r w:rsidRPr="00375A49">
        <w:rPr>
          <w:rFonts w:cstheme="minorHAnsi"/>
          <w:sz w:val="20"/>
          <w:szCs w:val="20"/>
          <w:lang w:val="cs-CZ"/>
        </w:rPr>
        <w:t xml:space="preserve"> </w:t>
      </w:r>
      <w:r w:rsidR="00821DDA">
        <w:rPr>
          <w:rFonts w:cstheme="minorHAnsi"/>
          <w:sz w:val="20"/>
          <w:szCs w:val="20"/>
          <w:lang w:val="cs-CZ"/>
        </w:rPr>
        <w:t>u kterých</w:t>
      </w:r>
      <w:r w:rsidRPr="00375A49">
        <w:rPr>
          <w:rFonts w:cstheme="minorHAnsi"/>
          <w:sz w:val="20"/>
          <w:szCs w:val="20"/>
          <w:lang w:val="cs-CZ"/>
        </w:rPr>
        <w:t> stručně popište jejich předpokládaný dopad.</w:t>
      </w:r>
    </w:p>
    <w:p w:rsidR="00633D4D" w:rsidRDefault="00633D4D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3.11 </w:t>
      </w:r>
      <w:r w:rsidRPr="00375A49">
        <w:rPr>
          <w:b/>
          <w:lang w:val="cs-CZ"/>
        </w:rPr>
        <w:tab/>
        <w:t xml:space="preserve">Uznání mezinárodní komunitou v oblasti </w:t>
      </w:r>
      <w:r w:rsidR="0079655F">
        <w:rPr>
          <w:b/>
          <w:lang w:val="cs-CZ"/>
        </w:rPr>
        <w:t>VaVaI</w:t>
      </w:r>
    </w:p>
    <w:p w:rsidR="000F31B0" w:rsidRPr="00375A49" w:rsidRDefault="000F31B0" w:rsidP="000F31B0">
      <w:pPr>
        <w:jc w:val="both"/>
        <w:rPr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3.11.1</w:t>
      </w:r>
      <w:r w:rsidRPr="00375A49">
        <w:rPr>
          <w:rFonts w:cstheme="minorHAnsi"/>
          <w:lang w:val="cs-CZ"/>
        </w:rPr>
        <w:tab/>
        <w:t>Účast akademických pracovníků hodnocené jednotky v edičních radách mezinárodních vědeckých časopisů za hodnocené období</w:t>
      </w:r>
      <w:r w:rsidR="00A7646E">
        <w:rPr>
          <w:rFonts w:cstheme="minorHAnsi"/>
          <w:lang w:val="cs-CZ"/>
        </w:rPr>
        <w:t xml:space="preserve"> 2014 až 2018</w:t>
      </w: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tbl>
      <w:tblPr>
        <w:tblStyle w:val="Mkatabulky"/>
        <w:tblW w:w="9209" w:type="dxa"/>
        <w:shd w:val="clear" w:color="auto" w:fill="F2F2F2" w:themeFill="background1" w:themeFillShade="F2"/>
        <w:tblLook w:val="04A0"/>
      </w:tblPr>
      <w:tblGrid>
        <w:gridCol w:w="3472"/>
        <w:gridCol w:w="5737"/>
      </w:tblGrid>
      <w:tr w:rsidR="001B6370" w:rsidRPr="00375A49" w:rsidTr="001B6370">
        <w:tc>
          <w:tcPr>
            <w:tcW w:w="3472" w:type="dxa"/>
            <w:shd w:val="clear" w:color="auto" w:fill="F2F2F2" w:themeFill="background1" w:themeFillShade="F2"/>
          </w:tcPr>
          <w:p w:rsidR="001B6370" w:rsidRPr="00375A49" w:rsidRDefault="001B637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Jméno, příjmení a titul(-y) pracovníka hodnocené jednotky</w:t>
            </w:r>
          </w:p>
        </w:tc>
        <w:tc>
          <w:tcPr>
            <w:tcW w:w="5737" w:type="dxa"/>
            <w:shd w:val="clear" w:color="auto" w:fill="F2F2F2" w:themeFill="background1" w:themeFillShade="F2"/>
          </w:tcPr>
          <w:p w:rsidR="001B6370" w:rsidRPr="00375A49" w:rsidRDefault="001B637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 xml:space="preserve">Název vědeckého časopisu, vydavatelství a město(-a) a stát(-y) původu </w:t>
            </w:r>
          </w:p>
        </w:tc>
      </w:tr>
      <w:tr w:rsidR="001B6370" w:rsidRPr="00375A49" w:rsidTr="001B6370">
        <w:tc>
          <w:tcPr>
            <w:tcW w:w="3472" w:type="dxa"/>
            <w:shd w:val="clear" w:color="auto" w:fill="F2F2F2" w:themeFill="background1" w:themeFillShade="F2"/>
          </w:tcPr>
          <w:p w:rsidR="001B6370" w:rsidRPr="00375A49" w:rsidRDefault="001B637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7" w:type="dxa"/>
            <w:shd w:val="clear" w:color="auto" w:fill="F2F2F2" w:themeFill="background1" w:themeFillShade="F2"/>
          </w:tcPr>
          <w:p w:rsidR="001B6370" w:rsidRPr="00375A49" w:rsidRDefault="001B637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6370" w:rsidRPr="00375A49" w:rsidTr="001B6370">
        <w:tc>
          <w:tcPr>
            <w:tcW w:w="3472" w:type="dxa"/>
            <w:shd w:val="clear" w:color="auto" w:fill="F2F2F2" w:themeFill="background1" w:themeFillShade="F2"/>
          </w:tcPr>
          <w:p w:rsidR="001B6370" w:rsidRPr="00375A49" w:rsidRDefault="001B637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7" w:type="dxa"/>
            <w:shd w:val="clear" w:color="auto" w:fill="F2F2F2" w:themeFill="background1" w:themeFillShade="F2"/>
          </w:tcPr>
          <w:p w:rsidR="001B6370" w:rsidRPr="00375A49" w:rsidRDefault="001B637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6370" w:rsidRPr="00375A49" w:rsidTr="001B6370">
        <w:tc>
          <w:tcPr>
            <w:tcW w:w="3472" w:type="dxa"/>
            <w:shd w:val="clear" w:color="auto" w:fill="F2F2F2" w:themeFill="background1" w:themeFillShade="F2"/>
          </w:tcPr>
          <w:p w:rsidR="001B6370" w:rsidRPr="00375A49" w:rsidRDefault="001B637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7" w:type="dxa"/>
            <w:shd w:val="clear" w:color="auto" w:fill="F2F2F2" w:themeFill="background1" w:themeFillShade="F2"/>
          </w:tcPr>
          <w:p w:rsidR="001B6370" w:rsidRPr="00375A49" w:rsidRDefault="001B637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6370" w:rsidRPr="00375A49" w:rsidTr="001B6370">
        <w:tc>
          <w:tcPr>
            <w:tcW w:w="3472" w:type="dxa"/>
            <w:shd w:val="clear" w:color="auto" w:fill="F2F2F2" w:themeFill="background1" w:themeFillShade="F2"/>
          </w:tcPr>
          <w:p w:rsidR="001B6370" w:rsidRPr="00375A49" w:rsidRDefault="001B637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7" w:type="dxa"/>
            <w:shd w:val="clear" w:color="auto" w:fill="F2F2F2" w:themeFill="background1" w:themeFillShade="F2"/>
          </w:tcPr>
          <w:p w:rsidR="001B6370" w:rsidRPr="00375A49" w:rsidRDefault="001B637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6370" w:rsidRPr="00375A49" w:rsidTr="001B6370">
        <w:tc>
          <w:tcPr>
            <w:tcW w:w="3472" w:type="dxa"/>
            <w:shd w:val="clear" w:color="auto" w:fill="F2F2F2" w:themeFill="background1" w:themeFillShade="F2"/>
          </w:tcPr>
          <w:p w:rsidR="001B6370" w:rsidRPr="00375A49" w:rsidRDefault="001B637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7" w:type="dxa"/>
            <w:shd w:val="clear" w:color="auto" w:fill="F2F2F2" w:themeFill="background1" w:themeFillShade="F2"/>
          </w:tcPr>
          <w:p w:rsidR="001B6370" w:rsidRPr="00375A49" w:rsidRDefault="001B637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0603D4" w:rsidRDefault="000603D4" w:rsidP="000603D4">
      <w:pPr>
        <w:rPr>
          <w:rFonts w:cstheme="minorHAnsi"/>
          <w:lang w:val="cs-CZ"/>
        </w:rPr>
      </w:pPr>
    </w:p>
    <w:p w:rsidR="000603D4" w:rsidRPr="000603D4" w:rsidRDefault="000603D4" w:rsidP="000603D4">
      <w:pPr>
        <w:rPr>
          <w:rFonts w:cstheme="minorHAnsi"/>
          <w:sz w:val="20"/>
          <w:szCs w:val="20"/>
          <w:lang w:val="cs-CZ"/>
        </w:rPr>
      </w:pPr>
      <w:r w:rsidRPr="000603D4">
        <w:rPr>
          <w:rFonts w:cstheme="minorHAnsi"/>
          <w:sz w:val="20"/>
          <w:szCs w:val="20"/>
          <w:lang w:val="cs-CZ"/>
        </w:rPr>
        <w:t>Pozn.: Uveďte nanejvýše 10 příkladů účasti akademických pracovníků v edičních radách mezinárodních vědeckých časopisů (např. editor, člen redakční rady atd.).</w:t>
      </w: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lang w:val="cs-CZ"/>
        </w:rPr>
      </w:pPr>
    </w:p>
    <w:p w:rsidR="00503ABF" w:rsidRDefault="00503ABF" w:rsidP="000F31B0">
      <w:pPr>
        <w:spacing w:line="240" w:lineRule="atLeast"/>
        <w:jc w:val="both"/>
        <w:rPr>
          <w:rFonts w:cstheme="minorHAnsi"/>
          <w:lang w:val="cs-CZ"/>
        </w:rPr>
      </w:pPr>
    </w:p>
    <w:p w:rsidR="00503ABF" w:rsidRDefault="00503ABF" w:rsidP="000F31B0">
      <w:pPr>
        <w:spacing w:line="240" w:lineRule="atLeast"/>
        <w:jc w:val="both"/>
        <w:rPr>
          <w:rFonts w:cstheme="minorHAnsi"/>
          <w:lang w:val="cs-CZ"/>
        </w:rPr>
      </w:pPr>
    </w:p>
    <w:p w:rsidR="00503ABF" w:rsidRDefault="00503ABF" w:rsidP="000F31B0">
      <w:pPr>
        <w:spacing w:line="240" w:lineRule="atLeast"/>
        <w:jc w:val="both"/>
        <w:rPr>
          <w:rFonts w:cstheme="minorHAnsi"/>
          <w:lang w:val="cs-CZ"/>
        </w:rPr>
      </w:pPr>
    </w:p>
    <w:p w:rsidR="00503ABF" w:rsidRDefault="00503ABF" w:rsidP="000F31B0">
      <w:pPr>
        <w:spacing w:line="240" w:lineRule="atLeast"/>
        <w:jc w:val="both"/>
        <w:rPr>
          <w:rFonts w:cstheme="minorHAnsi"/>
          <w:lang w:val="cs-CZ"/>
        </w:rPr>
      </w:pPr>
    </w:p>
    <w:p w:rsidR="00503ABF" w:rsidRDefault="00503ABF" w:rsidP="000F31B0">
      <w:pPr>
        <w:spacing w:line="240" w:lineRule="atLeast"/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lastRenderedPageBreak/>
        <w:t>3.11.2</w:t>
      </w:r>
      <w:r w:rsidRPr="00375A49">
        <w:rPr>
          <w:rFonts w:cstheme="minorHAnsi"/>
          <w:lang w:val="cs-CZ"/>
        </w:rPr>
        <w:tab/>
        <w:t>Nejvýznamnější zvané přednášky akademických pracovníků hodnocené jednotky na zahraničních institucích</w:t>
      </w:r>
      <w:r w:rsidR="00A7646E">
        <w:rPr>
          <w:rFonts w:cstheme="minorHAnsi"/>
          <w:lang w:val="cs-CZ"/>
        </w:rPr>
        <w:t xml:space="preserve"> v hodnoceném období 2014 až 2018</w:t>
      </w:r>
    </w:p>
    <w:p w:rsidR="000F31B0" w:rsidRPr="00375A49" w:rsidRDefault="000F31B0" w:rsidP="000F31B0">
      <w:pPr>
        <w:jc w:val="both"/>
        <w:rPr>
          <w:lang w:val="cs-CZ"/>
        </w:rPr>
      </w:pPr>
    </w:p>
    <w:tbl>
      <w:tblPr>
        <w:tblStyle w:val="Mkatabulky"/>
        <w:tblW w:w="9209" w:type="dxa"/>
        <w:shd w:val="clear" w:color="auto" w:fill="F2F2F2" w:themeFill="background1" w:themeFillShade="F2"/>
        <w:tblLook w:val="04A0"/>
      </w:tblPr>
      <w:tblGrid>
        <w:gridCol w:w="3539"/>
        <w:gridCol w:w="2835"/>
        <w:gridCol w:w="2835"/>
      </w:tblGrid>
      <w:tr w:rsidR="000F31B0" w:rsidRPr="0099636E" w:rsidTr="00DC1359">
        <w:tc>
          <w:tcPr>
            <w:tcW w:w="353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Jméno, příjmení a titul(-y) pracovníka hodnocené jednotky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zvané přednášky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hostitelské instituce, popř. název konference či akce</w:t>
            </w:r>
          </w:p>
        </w:tc>
      </w:tr>
      <w:tr w:rsidR="000F31B0" w:rsidRPr="0099636E" w:rsidTr="00DC1359">
        <w:tc>
          <w:tcPr>
            <w:tcW w:w="353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31B0" w:rsidRPr="0099636E" w:rsidTr="00DC1359">
        <w:tc>
          <w:tcPr>
            <w:tcW w:w="353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31B0" w:rsidRPr="0099636E" w:rsidTr="00DC1359">
        <w:tc>
          <w:tcPr>
            <w:tcW w:w="353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31B0" w:rsidRPr="0099636E" w:rsidTr="00DC1359">
        <w:tc>
          <w:tcPr>
            <w:tcW w:w="353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31B0" w:rsidRPr="0099636E" w:rsidTr="00DC1359">
        <w:tc>
          <w:tcPr>
            <w:tcW w:w="353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0F31B0" w:rsidRPr="00375A49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4302E7" w:rsidRPr="00D83B4D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 w:rsidRPr="00375A49">
        <w:rPr>
          <w:rFonts w:cstheme="minorHAnsi"/>
          <w:sz w:val="20"/>
          <w:szCs w:val="20"/>
          <w:lang w:val="cs-CZ"/>
        </w:rPr>
        <w:t xml:space="preserve">Pozn.: Uveďte </w:t>
      </w:r>
      <w:r w:rsidR="00821DDA" w:rsidRPr="00B570E3">
        <w:rPr>
          <w:rFonts w:cstheme="minorHAnsi"/>
          <w:sz w:val="20"/>
          <w:szCs w:val="20"/>
          <w:lang w:val="cs-CZ"/>
        </w:rPr>
        <w:t>nanejvýše</w:t>
      </w:r>
      <w:r w:rsidRPr="00375A49">
        <w:rPr>
          <w:rFonts w:cstheme="minorHAnsi"/>
          <w:sz w:val="20"/>
          <w:szCs w:val="20"/>
          <w:lang w:val="cs-CZ"/>
        </w:rPr>
        <w:t xml:space="preserve"> 10 příkladů.</w:t>
      </w:r>
    </w:p>
    <w:p w:rsidR="004302E7" w:rsidRDefault="004302E7" w:rsidP="000F31B0">
      <w:pPr>
        <w:spacing w:line="240" w:lineRule="atLeast"/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3.11.3</w:t>
      </w:r>
      <w:r w:rsidRPr="00375A49">
        <w:rPr>
          <w:rFonts w:cstheme="minorHAnsi"/>
          <w:lang w:val="cs-CZ"/>
        </w:rPr>
        <w:tab/>
        <w:t xml:space="preserve">Nejvýznamnější přednášky zahraničních vědců a dalších hostů relevantních pro </w:t>
      </w:r>
      <w:r w:rsidRPr="002461DA">
        <w:rPr>
          <w:rFonts w:cstheme="minorHAnsi"/>
          <w:lang w:val="cs-CZ"/>
        </w:rPr>
        <w:t xml:space="preserve">oblast </w:t>
      </w:r>
      <w:r w:rsidR="00864B45" w:rsidRPr="002461DA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na hodnocené jednotce</w:t>
      </w:r>
      <w:r w:rsidR="00A7646E">
        <w:rPr>
          <w:rFonts w:cstheme="minorHAnsi"/>
          <w:lang w:val="cs-CZ"/>
        </w:rPr>
        <w:t xml:space="preserve"> </w:t>
      </w:r>
      <w:r w:rsidR="00A7646E" w:rsidRPr="00A7646E">
        <w:rPr>
          <w:rFonts w:cstheme="minorHAnsi"/>
          <w:lang w:val="cs-CZ"/>
        </w:rPr>
        <w:t>v hodnoceném období 2014 až 2018</w:t>
      </w:r>
    </w:p>
    <w:p w:rsidR="000F31B0" w:rsidRPr="00375A49" w:rsidRDefault="000F31B0" w:rsidP="000F31B0">
      <w:pPr>
        <w:jc w:val="both"/>
        <w:rPr>
          <w:lang w:val="cs-CZ"/>
        </w:rPr>
      </w:pPr>
    </w:p>
    <w:tbl>
      <w:tblPr>
        <w:tblStyle w:val="Mkatabulky"/>
        <w:tblW w:w="9209" w:type="dxa"/>
        <w:shd w:val="clear" w:color="auto" w:fill="F2F2F2" w:themeFill="background1" w:themeFillShade="F2"/>
        <w:tblLook w:val="04A0"/>
      </w:tblPr>
      <w:tblGrid>
        <w:gridCol w:w="3539"/>
        <w:gridCol w:w="2835"/>
        <w:gridCol w:w="2835"/>
      </w:tblGrid>
      <w:tr w:rsidR="000F31B0" w:rsidRPr="00375A49" w:rsidTr="00DC1359">
        <w:tc>
          <w:tcPr>
            <w:tcW w:w="353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Jméno, příjmení a titul(-y) pracovníka hodnocené jednotky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Zaměstnavatel přednášejícího v době přednášky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zvané přednášky</w:t>
            </w:r>
          </w:p>
        </w:tc>
      </w:tr>
      <w:tr w:rsidR="000F31B0" w:rsidRPr="00375A49" w:rsidTr="00DC1359">
        <w:tc>
          <w:tcPr>
            <w:tcW w:w="353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31B0" w:rsidRPr="00375A49" w:rsidTr="00DC1359">
        <w:tc>
          <w:tcPr>
            <w:tcW w:w="353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31B0" w:rsidRPr="00375A49" w:rsidTr="00DC1359">
        <w:tc>
          <w:tcPr>
            <w:tcW w:w="353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31B0" w:rsidRPr="00375A49" w:rsidTr="00DC1359">
        <w:tc>
          <w:tcPr>
            <w:tcW w:w="353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F31B0" w:rsidRPr="00375A49" w:rsidTr="00DC1359">
        <w:tc>
          <w:tcPr>
            <w:tcW w:w="353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0F31B0" w:rsidRPr="00375A49" w:rsidRDefault="000F31B0" w:rsidP="000F31B0">
      <w:pPr>
        <w:spacing w:line="240" w:lineRule="atLeast"/>
        <w:jc w:val="both"/>
        <w:rPr>
          <w:b/>
          <w:sz w:val="20"/>
          <w:szCs w:val="20"/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 w:rsidRPr="00375A49">
        <w:rPr>
          <w:rFonts w:cstheme="minorHAnsi"/>
          <w:sz w:val="20"/>
          <w:szCs w:val="20"/>
          <w:lang w:val="cs-CZ"/>
        </w:rPr>
        <w:t xml:space="preserve">Pozn.: Relevantní pouze pro </w:t>
      </w:r>
      <w:r w:rsidRPr="002461DA">
        <w:rPr>
          <w:rFonts w:cstheme="minorHAnsi"/>
          <w:sz w:val="20"/>
          <w:szCs w:val="20"/>
          <w:lang w:val="cs-CZ"/>
        </w:rPr>
        <w:t xml:space="preserve">oblast </w:t>
      </w:r>
      <w:r w:rsidR="00864B45" w:rsidRPr="002461DA">
        <w:rPr>
          <w:rFonts w:cstheme="minorHAnsi"/>
          <w:sz w:val="20"/>
          <w:szCs w:val="20"/>
          <w:lang w:val="cs-CZ"/>
        </w:rPr>
        <w:t>VaVaI</w:t>
      </w:r>
      <w:r w:rsidRPr="00375A49">
        <w:rPr>
          <w:rFonts w:cstheme="minorHAnsi"/>
          <w:sz w:val="20"/>
          <w:szCs w:val="20"/>
          <w:lang w:val="cs-CZ"/>
        </w:rPr>
        <w:t xml:space="preserve">. Uveďte </w:t>
      </w:r>
      <w:r w:rsidR="00B22751" w:rsidRPr="00B570E3">
        <w:rPr>
          <w:rFonts w:cstheme="minorHAnsi"/>
          <w:sz w:val="20"/>
          <w:szCs w:val="20"/>
          <w:lang w:val="cs-CZ"/>
        </w:rPr>
        <w:t>nanejvýše</w:t>
      </w:r>
      <w:r w:rsidRPr="00375A49">
        <w:rPr>
          <w:rFonts w:cstheme="minorHAnsi"/>
          <w:sz w:val="20"/>
          <w:szCs w:val="20"/>
          <w:lang w:val="cs-CZ"/>
        </w:rPr>
        <w:t xml:space="preserve"> 10 příkladů.</w:t>
      </w: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8D79AA" w:rsidRDefault="008D79AA" w:rsidP="008D79AA">
      <w:pPr>
        <w:rPr>
          <w:rFonts w:cstheme="minorHAnsi"/>
          <w:b/>
          <w:bCs/>
          <w:lang w:val="cs-CZ"/>
        </w:rPr>
      </w:pPr>
    </w:p>
    <w:p w:rsidR="000F31B0" w:rsidRPr="00375A49" w:rsidRDefault="000F31B0" w:rsidP="008D79AA">
      <w:pPr>
        <w:rPr>
          <w:rFonts w:cstheme="minorHAnsi"/>
          <w:b/>
          <w:bCs/>
          <w:lang w:val="cs-CZ"/>
        </w:rPr>
      </w:pPr>
      <w:r w:rsidRPr="00375A49">
        <w:rPr>
          <w:rFonts w:cstheme="minorHAnsi"/>
          <w:b/>
          <w:bCs/>
          <w:lang w:val="cs-CZ"/>
        </w:rPr>
        <w:lastRenderedPageBreak/>
        <w:t>___________________________________________________________________________</w:t>
      </w: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sz w:val="2"/>
          <w:szCs w:val="2"/>
          <w:lang w:val="cs-CZ"/>
        </w:rPr>
      </w:pPr>
    </w:p>
    <w:p w:rsidR="000F31B0" w:rsidRPr="00375A49" w:rsidRDefault="000F31B0" w:rsidP="00EC0B12">
      <w:pPr>
        <w:pStyle w:val="Nadpis3"/>
      </w:pPr>
      <w:bookmarkStart w:id="50" w:name="_Toc5133496"/>
      <w:bookmarkStart w:id="51" w:name="_Toc6493949"/>
      <w:bookmarkStart w:id="52" w:name="_Toc7772761"/>
      <w:bookmarkStart w:id="53" w:name="_Toc11664131"/>
      <w:r w:rsidRPr="00375A49">
        <w:t>MODUL 4 VIABILITA</w:t>
      </w:r>
      <w:bookmarkEnd w:id="50"/>
      <w:bookmarkEnd w:id="51"/>
      <w:bookmarkEnd w:id="52"/>
      <w:bookmarkEnd w:id="53"/>
    </w:p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spacing w:line="240" w:lineRule="atLeast"/>
        <w:contextualSpacing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Modul 4 je vztažen k výzkumnému prostředí a posuzuje kvalitu řízení a vnitřních procesů vysoké školy. Má za cíl popsat fungování vysoké školy jako instituce v těchto oblastech: organizace, řízení a podpora </w:t>
      </w:r>
      <w:r w:rsidR="002415C8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, doktorské studium, národní a mezinárodní spolupráce (členství v globální a národní výzkumné komunitě) a mobilita ve </w:t>
      </w:r>
      <w:r w:rsidR="002415C8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, rozvoj lidských zdrojů a kariéra ve </w:t>
      </w:r>
      <w:r w:rsidR="002415C8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, finanční zdroje pro </w:t>
      </w:r>
      <w:r w:rsidR="002415C8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(schopnost získávat finanční prostředky na realizaci </w:t>
      </w:r>
      <w:r w:rsidR="00D30CCD" w:rsidRPr="002461DA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>)</w:t>
      </w:r>
      <w:r w:rsidR="00462B85">
        <w:rPr>
          <w:rFonts w:cstheme="minorHAnsi"/>
          <w:lang w:val="cs-CZ"/>
        </w:rPr>
        <w:t>,</w:t>
      </w:r>
      <w:r w:rsidRPr="00375A49">
        <w:rPr>
          <w:rFonts w:cstheme="minorHAnsi"/>
          <w:lang w:val="cs-CZ"/>
        </w:rPr>
        <w:t xml:space="preserve"> start-up strategie, výzkumná infrastruktura a dobrá praxe ve </w:t>
      </w:r>
      <w:r w:rsidR="002415C8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>.</w:t>
      </w:r>
    </w:p>
    <w:p w:rsidR="000F31B0" w:rsidRPr="00375A49" w:rsidRDefault="000F31B0" w:rsidP="000F31B0">
      <w:pPr>
        <w:spacing w:line="240" w:lineRule="atLeast"/>
        <w:contextualSpacing/>
        <w:jc w:val="both"/>
        <w:rPr>
          <w:rFonts w:cstheme="minorHAnsi"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lang w:val="cs-CZ"/>
        </w:rPr>
      </w:pPr>
      <w:r w:rsidRPr="00375A49">
        <w:rPr>
          <w:rFonts w:cstheme="minorHAnsi"/>
          <w:bCs/>
          <w:kern w:val="1"/>
          <w:lang w:val="cs-CZ"/>
        </w:rPr>
        <w:t>V</w:t>
      </w:r>
      <w:r>
        <w:rPr>
          <w:rFonts w:cstheme="minorHAnsi"/>
          <w:bCs/>
          <w:kern w:val="1"/>
          <w:lang w:val="cs-CZ"/>
        </w:rPr>
        <w:t xml:space="preserve"> modulu </w:t>
      </w:r>
      <w:r w:rsidRPr="00375A49">
        <w:rPr>
          <w:rFonts w:cstheme="minorHAnsi"/>
          <w:bCs/>
          <w:kern w:val="1"/>
          <w:lang w:val="cs-CZ"/>
        </w:rPr>
        <w:t xml:space="preserve">M4 je hodnocenou jednotkou vysoká škola jako celek. Hodnocen bude </w:t>
      </w:r>
      <w:r w:rsidR="003342FC">
        <w:rPr>
          <w:rFonts w:cstheme="minorHAnsi"/>
          <w:bCs/>
          <w:kern w:val="1"/>
          <w:lang w:val="cs-CZ"/>
        </w:rPr>
        <w:t xml:space="preserve">její </w:t>
      </w:r>
      <w:r w:rsidRPr="00375A49">
        <w:rPr>
          <w:rFonts w:cstheme="minorHAnsi"/>
          <w:bCs/>
          <w:kern w:val="1"/>
          <w:lang w:val="cs-CZ"/>
        </w:rPr>
        <w:t xml:space="preserve">stav zpravidla dle údajů za ukončené </w:t>
      </w:r>
      <w:r w:rsidR="00774C2C">
        <w:rPr>
          <w:rFonts w:cstheme="minorHAnsi"/>
          <w:bCs/>
          <w:kern w:val="1"/>
          <w:lang w:val="cs-CZ"/>
        </w:rPr>
        <w:t xml:space="preserve">víceleté </w:t>
      </w:r>
      <w:r w:rsidRPr="00375A49">
        <w:rPr>
          <w:rFonts w:cstheme="minorHAnsi"/>
          <w:bCs/>
          <w:kern w:val="1"/>
          <w:lang w:val="cs-CZ"/>
        </w:rPr>
        <w:t xml:space="preserve">období předcházející roku hodnocení. Vysoká škola </w:t>
      </w:r>
      <w:r w:rsidRPr="00375A49">
        <w:rPr>
          <w:rFonts w:cstheme="minorHAnsi"/>
          <w:lang w:val="cs-CZ"/>
        </w:rPr>
        <w:t xml:space="preserve">zpracuje sebeevaluační zprávu v rozsahu </w:t>
      </w:r>
      <w:r w:rsidR="00774C2C">
        <w:rPr>
          <w:rFonts w:cstheme="minorHAnsi"/>
          <w:lang w:val="cs-CZ"/>
        </w:rPr>
        <w:t>nanejvýše</w:t>
      </w:r>
      <w:r w:rsidR="00774C2C" w:rsidRPr="00375A49">
        <w:rPr>
          <w:rFonts w:cstheme="minorHAnsi"/>
          <w:lang w:val="cs-CZ"/>
        </w:rPr>
        <w:t xml:space="preserve"> </w:t>
      </w:r>
      <w:r w:rsidRPr="00375A49">
        <w:rPr>
          <w:rFonts w:cstheme="minorHAnsi"/>
          <w:lang w:val="cs-CZ"/>
        </w:rPr>
        <w:t xml:space="preserve">25 normostran textu doplněného tabulkami a dalšími přílohami (tabulky ani další přílohy se do rozsahu nezapočítávají). </w:t>
      </w:r>
    </w:p>
    <w:p w:rsidR="000F31B0" w:rsidRPr="00375A49" w:rsidRDefault="000F31B0" w:rsidP="000F31B0">
      <w:pPr>
        <w:spacing w:line="240" w:lineRule="atLeast"/>
        <w:contextualSpacing/>
        <w:jc w:val="both"/>
        <w:rPr>
          <w:b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Cs/>
          <w:kern w:val="1"/>
          <w:lang w:val="cs-CZ"/>
        </w:rPr>
      </w:pPr>
      <w:r w:rsidRPr="00375A49">
        <w:rPr>
          <w:rFonts w:cstheme="minorHAnsi"/>
          <w:bCs/>
          <w:kern w:val="1"/>
          <w:lang w:val="cs-CZ"/>
        </w:rPr>
        <w:t>Modul M4 je rozdělen do 8 klastrů, které zahrnují celkem 28 konkrétních hodnotících kritérií</w:t>
      </w:r>
      <w:r w:rsidR="0065787D">
        <w:rPr>
          <w:rFonts w:cstheme="minorHAnsi"/>
          <w:bCs/>
          <w:kern w:val="1"/>
          <w:lang w:val="cs-CZ"/>
        </w:rPr>
        <w:t xml:space="preserve"> </w:t>
      </w:r>
      <w:r w:rsidR="0007185F" w:rsidRPr="0007185F">
        <w:rPr>
          <w:rFonts w:cstheme="minorHAnsi"/>
          <w:bCs/>
          <w:kern w:val="1"/>
          <w:lang w:val="cs-CZ"/>
        </w:rPr>
        <w:t>(pro státní vysoké školy vojenské a státní vysoké školy policejní se některá kritéria nepoužijí)</w:t>
      </w:r>
      <w:r w:rsidRPr="00375A49">
        <w:rPr>
          <w:rFonts w:cstheme="minorHAnsi"/>
          <w:bCs/>
          <w:kern w:val="1"/>
          <w:lang w:val="cs-CZ"/>
        </w:rPr>
        <w:t>:</w:t>
      </w: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ORGANIZACE, ŘÍZENÍ A PODPORA </w:t>
      </w:r>
      <w:r w:rsidR="002415C8">
        <w:rPr>
          <w:rFonts w:cstheme="minorHAnsi"/>
          <w:b/>
          <w:lang w:val="cs-CZ"/>
        </w:rPr>
        <w:t>VAVAI</w:t>
      </w:r>
      <w:r w:rsidRPr="00375A49">
        <w:rPr>
          <w:rFonts w:cstheme="minorHAnsi"/>
          <w:b/>
          <w:lang w:val="cs-CZ"/>
        </w:rPr>
        <w:t xml:space="preserve"> </w:t>
      </w:r>
    </w:p>
    <w:p w:rsidR="000F31B0" w:rsidRPr="00375A49" w:rsidRDefault="000F31B0" w:rsidP="000F31B0">
      <w:pPr>
        <w:ind w:left="360"/>
        <w:jc w:val="both"/>
        <w:rPr>
          <w:lang w:val="cs-CZ"/>
        </w:rPr>
      </w:pP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b/>
          <w:lang w:val="cs-CZ"/>
        </w:rPr>
        <w:t xml:space="preserve">4.1 Organizace a řízení </w:t>
      </w:r>
      <w:r w:rsidR="002415C8">
        <w:rPr>
          <w:b/>
          <w:lang w:val="cs-CZ"/>
        </w:rPr>
        <w:t>VaVaI</w:t>
      </w:r>
      <w:r w:rsidRPr="00375A49">
        <w:rPr>
          <w:b/>
          <w:lang w:val="cs-CZ"/>
        </w:rPr>
        <w:t xml:space="preserve"> 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stručně popíše systém řízení </w:t>
      </w:r>
      <w:r w:rsidR="00774C2C">
        <w:rPr>
          <w:i/>
          <w:lang w:val="cs-CZ"/>
        </w:rPr>
        <w:t>a</w:t>
      </w:r>
      <w:r w:rsidR="00774C2C" w:rsidRPr="00375A49">
        <w:rPr>
          <w:i/>
          <w:lang w:val="cs-CZ"/>
        </w:rPr>
        <w:t xml:space="preserve"> organizační</w:t>
      </w:r>
      <w:r w:rsidRPr="00375A49">
        <w:rPr>
          <w:i/>
          <w:lang w:val="cs-CZ"/>
        </w:rPr>
        <w:t xml:space="preserve"> struktur</w:t>
      </w:r>
      <w:r w:rsidR="00D01D47">
        <w:rPr>
          <w:i/>
          <w:lang w:val="cs-CZ"/>
        </w:rPr>
        <w:t>u</w:t>
      </w:r>
      <w:r w:rsidRPr="00375A49">
        <w:rPr>
          <w:i/>
          <w:lang w:val="cs-CZ"/>
        </w:rPr>
        <w:t xml:space="preserve"> </w:t>
      </w:r>
      <w:r w:rsidR="00177D38">
        <w:rPr>
          <w:i/>
          <w:lang w:val="cs-CZ"/>
        </w:rPr>
        <w:t>VaVaI</w:t>
      </w:r>
      <w:r w:rsidRPr="00375A49">
        <w:rPr>
          <w:i/>
          <w:lang w:val="cs-CZ"/>
        </w:rPr>
        <w:t xml:space="preserve"> s důrazem na následující podtémata: </w:t>
      </w:r>
    </w:p>
    <w:p w:rsidR="000F31B0" w:rsidRPr="00375A49" w:rsidRDefault="000F31B0" w:rsidP="000F31B0">
      <w:pPr>
        <w:pStyle w:val="Odstavecseseznamem"/>
        <w:numPr>
          <w:ilvl w:val="0"/>
          <w:numId w:val="2"/>
        </w:numPr>
        <w:jc w:val="both"/>
        <w:rPr>
          <w:i/>
          <w:lang w:val="cs-CZ"/>
        </w:rPr>
      </w:pPr>
      <w:r w:rsidRPr="00375A49">
        <w:rPr>
          <w:i/>
          <w:lang w:val="cs-CZ"/>
        </w:rPr>
        <w:t>úloha rektorátu</w:t>
      </w:r>
      <w:r w:rsidR="00B137E5">
        <w:rPr>
          <w:i/>
          <w:lang w:val="cs-CZ"/>
        </w:rPr>
        <w:t>,</w:t>
      </w:r>
      <w:r w:rsidR="001B6370">
        <w:rPr>
          <w:i/>
          <w:lang w:val="cs-CZ"/>
        </w:rPr>
        <w:t xml:space="preserve"> </w:t>
      </w:r>
      <w:r w:rsidRPr="00375A49">
        <w:rPr>
          <w:i/>
          <w:lang w:val="cs-CZ"/>
        </w:rPr>
        <w:t xml:space="preserve">děkanátu </w:t>
      </w:r>
      <w:r w:rsidR="00B137E5">
        <w:rPr>
          <w:i/>
          <w:lang w:val="cs-CZ"/>
        </w:rPr>
        <w:t xml:space="preserve">a vedení vysokoškolských ústavů </w:t>
      </w:r>
      <w:r w:rsidRPr="00375A49">
        <w:rPr>
          <w:i/>
          <w:lang w:val="cs-CZ"/>
        </w:rPr>
        <w:t xml:space="preserve">v organizaci a řízení </w:t>
      </w:r>
      <w:r w:rsidR="002415C8">
        <w:rPr>
          <w:i/>
          <w:lang w:val="cs-CZ"/>
        </w:rPr>
        <w:t>VaVaI</w:t>
      </w:r>
      <w:r w:rsidRPr="00375A49">
        <w:rPr>
          <w:i/>
          <w:lang w:val="cs-CZ"/>
        </w:rPr>
        <w:t>,</w:t>
      </w:r>
    </w:p>
    <w:p w:rsidR="000F31B0" w:rsidRPr="00375A49" w:rsidRDefault="00D01D47" w:rsidP="000F31B0">
      <w:pPr>
        <w:pStyle w:val="Odstavecseseznamem"/>
        <w:numPr>
          <w:ilvl w:val="0"/>
          <w:numId w:val="2"/>
        </w:numPr>
        <w:jc w:val="both"/>
        <w:rPr>
          <w:i/>
          <w:lang w:val="cs-CZ"/>
        </w:rPr>
      </w:pPr>
      <w:r>
        <w:rPr>
          <w:i/>
          <w:lang w:val="cs-CZ"/>
        </w:rPr>
        <w:t xml:space="preserve">zapojení </w:t>
      </w:r>
      <w:r w:rsidR="001B6370">
        <w:rPr>
          <w:i/>
          <w:lang w:val="cs-CZ"/>
        </w:rPr>
        <w:t xml:space="preserve">mezinárodních </w:t>
      </w:r>
      <w:r w:rsidR="000F31B0" w:rsidRPr="00375A49">
        <w:rPr>
          <w:i/>
          <w:lang w:val="cs-CZ"/>
        </w:rPr>
        <w:t>vědeck</w:t>
      </w:r>
      <w:r>
        <w:rPr>
          <w:i/>
          <w:lang w:val="cs-CZ"/>
        </w:rPr>
        <w:t>ých</w:t>
      </w:r>
      <w:r w:rsidR="000F31B0" w:rsidRPr="00375A49">
        <w:rPr>
          <w:i/>
          <w:lang w:val="cs-CZ"/>
        </w:rPr>
        <w:t xml:space="preserve"> rad nebo jin</w:t>
      </w:r>
      <w:r>
        <w:rPr>
          <w:i/>
          <w:lang w:val="cs-CZ"/>
        </w:rPr>
        <w:t>ých</w:t>
      </w:r>
      <w:r w:rsidR="000F31B0" w:rsidRPr="00375A49">
        <w:rPr>
          <w:i/>
          <w:lang w:val="cs-CZ"/>
        </w:rPr>
        <w:t xml:space="preserve"> nezávisl</w:t>
      </w:r>
      <w:r>
        <w:rPr>
          <w:i/>
          <w:lang w:val="cs-CZ"/>
        </w:rPr>
        <w:t>ých</w:t>
      </w:r>
      <w:r w:rsidR="000F31B0" w:rsidRPr="00375A49">
        <w:rPr>
          <w:i/>
          <w:lang w:val="cs-CZ"/>
        </w:rPr>
        <w:t xml:space="preserve"> poradní</w:t>
      </w:r>
      <w:r>
        <w:rPr>
          <w:i/>
          <w:lang w:val="cs-CZ"/>
        </w:rPr>
        <w:t>ch</w:t>
      </w:r>
      <w:r w:rsidR="000F31B0" w:rsidRPr="00375A49">
        <w:rPr>
          <w:i/>
          <w:lang w:val="cs-CZ"/>
        </w:rPr>
        <w:t xml:space="preserve"> orgán</w:t>
      </w:r>
      <w:r>
        <w:rPr>
          <w:i/>
          <w:lang w:val="cs-CZ"/>
        </w:rPr>
        <w:t>ů</w:t>
      </w:r>
      <w:r w:rsidR="000F31B0" w:rsidRPr="00375A49">
        <w:rPr>
          <w:i/>
          <w:lang w:val="cs-CZ"/>
        </w:rPr>
        <w:t xml:space="preserve"> (pokud existují),</w:t>
      </w:r>
    </w:p>
    <w:p w:rsidR="000F31B0" w:rsidRPr="00375A49" w:rsidRDefault="000F31B0" w:rsidP="000F31B0">
      <w:pPr>
        <w:pStyle w:val="Odstavecseseznamem"/>
        <w:numPr>
          <w:ilvl w:val="0"/>
          <w:numId w:val="2"/>
        </w:numPr>
        <w:jc w:val="both"/>
        <w:rPr>
          <w:i/>
          <w:lang w:val="cs-CZ"/>
        </w:rPr>
      </w:pPr>
      <w:r w:rsidRPr="00375A49">
        <w:rPr>
          <w:i/>
          <w:lang w:val="cs-CZ"/>
        </w:rPr>
        <w:t>organizační struktur</w:t>
      </w:r>
      <w:r w:rsidR="00462B85">
        <w:rPr>
          <w:i/>
          <w:lang w:val="cs-CZ"/>
        </w:rPr>
        <w:t>a vysoké školy v souvislosti s </w:t>
      </w:r>
      <w:r w:rsidR="002415C8">
        <w:rPr>
          <w:i/>
          <w:lang w:val="cs-CZ"/>
        </w:rPr>
        <w:t>VaVaI</w:t>
      </w:r>
      <w:r w:rsidRPr="00375A49">
        <w:rPr>
          <w:i/>
          <w:lang w:val="cs-CZ"/>
        </w:rPr>
        <w:t xml:space="preserve"> (např. vnitřní členění ústavů a kateder na výzkumné nebo projektové týmy, existuje-li takové členění</w:t>
      </w:r>
      <w:r w:rsidR="00D01D47">
        <w:rPr>
          <w:i/>
          <w:lang w:val="cs-CZ"/>
        </w:rPr>
        <w:t>; mezioborová výzkumná centra atd.</w:t>
      </w:r>
      <w:r w:rsidRPr="00375A49">
        <w:rPr>
          <w:i/>
          <w:lang w:val="cs-CZ"/>
        </w:rPr>
        <w:t>),</w:t>
      </w:r>
    </w:p>
    <w:p w:rsidR="000F31B0" w:rsidRPr="00375A49" w:rsidRDefault="000F31B0" w:rsidP="000F31B0">
      <w:pPr>
        <w:pStyle w:val="Odstavecseseznamem"/>
        <w:numPr>
          <w:ilvl w:val="0"/>
          <w:numId w:val="2"/>
        </w:numPr>
        <w:jc w:val="both"/>
        <w:rPr>
          <w:i/>
          <w:lang w:val="cs-CZ"/>
        </w:rPr>
      </w:pPr>
      <w:r w:rsidRPr="00375A49">
        <w:rPr>
          <w:i/>
          <w:lang w:val="cs-CZ"/>
        </w:rPr>
        <w:t>k rámcové informaci o odměňování na vysoké škole se uvede do přílohy příslušný vnitřní předpis.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Dále stručně okomentuje údaje o počtu a struktuře pracovníků podílejících se na vysoké škole na </w:t>
      </w:r>
      <w:r w:rsidR="002415C8">
        <w:rPr>
          <w:i/>
          <w:lang w:val="cs-CZ"/>
        </w:rPr>
        <w:t>VaVaI</w:t>
      </w:r>
      <w:r w:rsidRPr="00375A49">
        <w:rPr>
          <w:i/>
          <w:lang w:val="cs-CZ"/>
        </w:rPr>
        <w:t xml:space="preserve"> z přílohy (tab. 4.1.1 a 4.1.2).</w:t>
      </w:r>
    </w:p>
    <w:p w:rsidR="000F31B0" w:rsidRPr="00375A49" w:rsidRDefault="000F31B0" w:rsidP="000F31B0">
      <w:pPr>
        <w:jc w:val="both"/>
        <w:rPr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4.2 Systém podpory </w:t>
      </w:r>
      <w:r w:rsidR="002415C8">
        <w:rPr>
          <w:b/>
          <w:lang w:val="cs-CZ"/>
        </w:rPr>
        <w:t>VaVaI</w:t>
      </w:r>
      <w:r w:rsidRPr="00375A49">
        <w:rPr>
          <w:b/>
          <w:lang w:val="cs-CZ"/>
        </w:rPr>
        <w:t xml:space="preserve"> a stimulační opatření pro </w:t>
      </w:r>
      <w:r w:rsidR="0017416E">
        <w:rPr>
          <w:b/>
          <w:lang w:val="cs-CZ"/>
        </w:rPr>
        <w:t>kvalitní</w:t>
      </w:r>
      <w:r w:rsidRPr="00375A49">
        <w:rPr>
          <w:b/>
          <w:lang w:val="cs-CZ"/>
        </w:rPr>
        <w:t xml:space="preserve"> vědu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stručně popíše systémová stimulační opatření / nástroje pro podporu kvalitního </w:t>
      </w:r>
      <w:r w:rsidR="002415C8">
        <w:rPr>
          <w:i/>
          <w:lang w:val="cs-CZ"/>
        </w:rPr>
        <w:t>VaVaI</w:t>
      </w:r>
      <w:r w:rsidRPr="00375A49">
        <w:rPr>
          <w:i/>
          <w:lang w:val="cs-CZ"/>
        </w:rPr>
        <w:t xml:space="preserve"> (pokud existují). Lze referovat formou bodového výčtu na úrovni vysoké školy.</w:t>
      </w:r>
    </w:p>
    <w:p w:rsidR="000F31B0" w:rsidRPr="00375A49" w:rsidRDefault="000F31B0" w:rsidP="000F31B0">
      <w:pPr>
        <w:jc w:val="both"/>
        <w:rPr>
          <w:i/>
          <w:lang w:val="cs-CZ"/>
        </w:rPr>
      </w:pP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b/>
          <w:lang w:val="cs-CZ"/>
        </w:rPr>
        <w:t xml:space="preserve">4.3 Institucionální pravidla využití institucionální podpory </w:t>
      </w:r>
      <w:r w:rsidR="002415C8">
        <w:rPr>
          <w:b/>
          <w:lang w:val="cs-CZ"/>
        </w:rPr>
        <w:t xml:space="preserve">na </w:t>
      </w:r>
      <w:r w:rsidRPr="00375A49">
        <w:rPr>
          <w:b/>
          <w:lang w:val="cs-CZ"/>
        </w:rPr>
        <w:t>DKRVO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Vysoká škola popíše strategii využití institucionální podpory na DKRVO v řízení institucionálně podporované výzkumné činnosti (např. prioritizace</w:t>
      </w:r>
      <w:r w:rsidR="004A1579">
        <w:rPr>
          <w:i/>
          <w:lang w:val="cs-CZ"/>
        </w:rPr>
        <w:t xml:space="preserve"> výzkumných</w:t>
      </w:r>
      <w:r w:rsidRPr="00375A49">
        <w:rPr>
          <w:i/>
          <w:lang w:val="cs-CZ"/>
        </w:rPr>
        <w:t xml:space="preserve"> témat vysoké školy dle individuálních potřeb</w:t>
      </w:r>
      <w:r w:rsidR="004A1579">
        <w:rPr>
          <w:i/>
          <w:lang w:val="cs-CZ"/>
        </w:rPr>
        <w:t>, interní grantové agentury</w:t>
      </w:r>
      <w:r w:rsidR="00D01D47">
        <w:rPr>
          <w:i/>
          <w:lang w:val="cs-CZ"/>
        </w:rPr>
        <w:t>, motivační nástroje</w:t>
      </w:r>
      <w:r w:rsidRPr="00375A49">
        <w:rPr>
          <w:i/>
          <w:lang w:val="cs-CZ"/>
        </w:rPr>
        <w:t>) a způsob rozdělování institucionální podpory na jednotliv</w:t>
      </w:r>
      <w:r w:rsidR="00D01D47">
        <w:rPr>
          <w:i/>
          <w:lang w:val="cs-CZ"/>
        </w:rPr>
        <w:t>á</w:t>
      </w:r>
      <w:r w:rsidRPr="00375A49">
        <w:rPr>
          <w:i/>
          <w:lang w:val="cs-CZ"/>
        </w:rPr>
        <w:t xml:space="preserve"> pracoviště / výzkumné týmy za hodnocené období</w:t>
      </w:r>
      <w:r w:rsidR="00A7646E">
        <w:rPr>
          <w:i/>
          <w:lang w:val="cs-CZ"/>
        </w:rPr>
        <w:t xml:space="preserve"> 2014 až 2018</w:t>
      </w:r>
      <w:r w:rsidRPr="00375A49">
        <w:rPr>
          <w:i/>
          <w:lang w:val="cs-CZ"/>
        </w:rPr>
        <w:t>.</w:t>
      </w:r>
    </w:p>
    <w:p w:rsidR="00697281" w:rsidRDefault="00697281" w:rsidP="000F31B0">
      <w:pPr>
        <w:jc w:val="both"/>
        <w:rPr>
          <w:b/>
          <w:lang w:val="cs-CZ"/>
        </w:rPr>
      </w:pPr>
    </w:p>
    <w:p w:rsidR="00D83B4D" w:rsidRDefault="00D83B4D" w:rsidP="000F31B0">
      <w:pPr>
        <w:jc w:val="both"/>
        <w:rPr>
          <w:b/>
          <w:lang w:val="cs-CZ"/>
        </w:rPr>
      </w:pPr>
    </w:p>
    <w:p w:rsidR="00D83B4D" w:rsidRDefault="00D83B4D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lastRenderedPageBreak/>
        <w:t>4.4 Strategie zakládání, financování a dlouhodobého rozvoje a udržitelnosti výzkumných center</w:t>
      </w:r>
      <w:r w:rsidR="00A7646E">
        <w:rPr>
          <w:b/>
          <w:lang w:val="cs-CZ"/>
        </w:rPr>
        <w:t xml:space="preserve"> a </w:t>
      </w:r>
      <w:r w:rsidR="00D01D47">
        <w:rPr>
          <w:b/>
          <w:lang w:val="cs-CZ"/>
        </w:rPr>
        <w:t>velkých výzkumných infrastruktur</w:t>
      </w:r>
      <w:r w:rsidR="00424AE5">
        <w:rPr>
          <w:rStyle w:val="Znakapoznpodarou"/>
          <w:b/>
          <w:lang w:val="cs-CZ"/>
        </w:rPr>
        <w:footnoteReference w:id="6"/>
      </w:r>
      <w:r w:rsidR="00D01D47">
        <w:rPr>
          <w:b/>
          <w:lang w:val="cs-CZ"/>
        </w:rPr>
        <w:t xml:space="preserve"> (pokud existují)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stručně popíše svou strategii udržitelnosti a rozvoje velké výzkumné infrastruktury, je-li hostitelskou organizací takového projektu. Dále popíše svou strategii udržitelnosti a rozvoje výzkumného </w:t>
      </w:r>
      <w:r w:rsidR="003342FC">
        <w:rPr>
          <w:i/>
          <w:lang w:val="cs-CZ"/>
        </w:rPr>
        <w:t>centra (nebo výzkumných center)</w:t>
      </w:r>
      <w:r w:rsidRPr="00375A49">
        <w:rPr>
          <w:i/>
          <w:lang w:val="cs-CZ"/>
        </w:rPr>
        <w:t xml:space="preserve"> vybudovaného (vybudovaných) v letech 2007 až 2015 z Evropských strukturálních fondů (operační programy Výzkum </w:t>
      </w:r>
      <w:r w:rsidRPr="00D30CCD">
        <w:rPr>
          <w:i/>
          <w:lang w:val="cs-CZ"/>
        </w:rPr>
        <w:t>a vývoj</w:t>
      </w:r>
      <w:r w:rsidRPr="00375A49">
        <w:rPr>
          <w:i/>
          <w:lang w:val="cs-CZ"/>
        </w:rPr>
        <w:t xml:space="preserve"> pro inovace, Praha-Konkurenceschopnost) a v době udržitelnosti podporovaného z Národního programu udržitelnosti, je-li takové výzkumné centrum její součástí.</w:t>
      </w:r>
    </w:p>
    <w:p w:rsidR="000F31B0" w:rsidRPr="00375A49" w:rsidRDefault="000F31B0" w:rsidP="000F31B0">
      <w:pPr>
        <w:jc w:val="both"/>
        <w:rPr>
          <w:i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4.5 Systém vzdělávání v oblasti ochrany duševního vlastnictví a transferu technologií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Vysoká škola stručně popíše svůj interní systém vzdělávání pregraduálních a postgraduálních studentů a zaměstnanců v oblasti ochrany duševního vlastnictví a transferu technologií (pokud</w:t>
      </w:r>
      <w:r w:rsidR="00971967">
        <w:rPr>
          <w:i/>
          <w:lang w:val="cs-CZ"/>
        </w:rPr>
        <w:t xml:space="preserve"> takový systém vzdělávání</w:t>
      </w:r>
      <w:r w:rsidRPr="00375A49">
        <w:rPr>
          <w:i/>
          <w:lang w:val="cs-CZ"/>
        </w:rPr>
        <w:t xml:space="preserve"> existuje).</w:t>
      </w:r>
    </w:p>
    <w:p w:rsidR="000F31B0" w:rsidRPr="00375A49" w:rsidRDefault="000F31B0" w:rsidP="000F31B0">
      <w:pPr>
        <w:jc w:val="both"/>
        <w:rPr>
          <w:i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D</w:t>
      </w:r>
      <w:r w:rsidR="001B6370">
        <w:rPr>
          <w:rFonts w:cstheme="minorHAnsi"/>
          <w:b/>
          <w:lang w:val="cs-CZ"/>
        </w:rPr>
        <w:t>OKTORSKÉ</w:t>
      </w:r>
      <w:r w:rsidRPr="00375A49">
        <w:rPr>
          <w:rFonts w:cstheme="minorHAnsi"/>
          <w:b/>
          <w:lang w:val="cs-CZ"/>
        </w:rPr>
        <w:t xml:space="preserve"> STUDIUM </w:t>
      </w:r>
    </w:p>
    <w:p w:rsidR="000F31B0" w:rsidRPr="00375A49" w:rsidRDefault="000F31B0" w:rsidP="000F31B0">
      <w:pPr>
        <w:ind w:left="360"/>
        <w:jc w:val="both"/>
        <w:rPr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4.6 Organizace doktorského studia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Vysoká škola stručně popíše organizaci doktorského studia: strukturu, základní statistiku, informace o propagaci a náborových schématech, o vnější komunikaci ohledně doktorského studia (např. spolupráci s</w:t>
      </w:r>
      <w:r w:rsidR="00C575B9">
        <w:rPr>
          <w:i/>
          <w:lang w:val="cs-CZ"/>
        </w:rPr>
        <w:t> </w:t>
      </w:r>
      <w:r w:rsidRPr="00375A49">
        <w:rPr>
          <w:i/>
          <w:lang w:val="cs-CZ"/>
        </w:rPr>
        <w:t>A</w:t>
      </w:r>
      <w:r w:rsidR="00C575B9">
        <w:rPr>
          <w:i/>
          <w:lang w:val="cs-CZ"/>
        </w:rPr>
        <w:t>kademií věd</w:t>
      </w:r>
      <w:r w:rsidRPr="00375A49">
        <w:rPr>
          <w:i/>
          <w:lang w:val="cs-CZ"/>
        </w:rPr>
        <w:t xml:space="preserve"> ČR, spolupráci s aplikační sférou</w:t>
      </w:r>
      <w:r w:rsidR="00A3439A">
        <w:rPr>
          <w:i/>
          <w:lang w:val="cs-CZ"/>
        </w:rPr>
        <w:t>, nábory v zahraničí</w:t>
      </w:r>
      <w:r w:rsidRPr="00375A49">
        <w:rPr>
          <w:i/>
          <w:lang w:val="cs-CZ"/>
        </w:rPr>
        <w:t xml:space="preserve"> atd.), případně uvede další relevantní údaje, jako </w:t>
      </w:r>
      <w:r w:rsidR="003342FC">
        <w:rPr>
          <w:i/>
          <w:lang w:val="cs-CZ"/>
        </w:rPr>
        <w:t xml:space="preserve">jsou </w:t>
      </w:r>
      <w:r w:rsidRPr="00375A49">
        <w:rPr>
          <w:i/>
          <w:lang w:val="cs-CZ"/>
        </w:rPr>
        <w:t>existenc</w:t>
      </w:r>
      <w:r w:rsidR="00A3439A">
        <w:rPr>
          <w:i/>
          <w:lang w:val="cs-CZ"/>
        </w:rPr>
        <w:t>e</w:t>
      </w:r>
      <w:r w:rsidRPr="00375A49">
        <w:rPr>
          <w:i/>
          <w:lang w:val="cs-CZ"/>
        </w:rPr>
        <w:t xml:space="preserve"> doktorské školy</w:t>
      </w:r>
      <w:r w:rsidR="00971967">
        <w:rPr>
          <w:i/>
          <w:lang w:val="cs-CZ"/>
        </w:rPr>
        <w:t>, základní kurzy tzv. soft skills</w:t>
      </w:r>
      <w:r w:rsidRPr="00375A49">
        <w:rPr>
          <w:i/>
          <w:lang w:val="cs-CZ"/>
        </w:rPr>
        <w:t xml:space="preserve"> at</w:t>
      </w:r>
      <w:r w:rsidR="00A3439A">
        <w:rPr>
          <w:i/>
          <w:lang w:val="cs-CZ"/>
        </w:rPr>
        <w:t>d</w:t>
      </w:r>
      <w:r w:rsidRPr="00375A49">
        <w:rPr>
          <w:i/>
          <w:lang w:val="cs-CZ"/>
        </w:rPr>
        <w:t xml:space="preserve">. </w:t>
      </w:r>
    </w:p>
    <w:p w:rsidR="000F31B0" w:rsidRPr="00375A49" w:rsidRDefault="000F31B0" w:rsidP="000F31B0">
      <w:pPr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4.7 Internacionalizace doktorského studia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Vysoká škola popíše a uvede konkrétní příklady mezinárodní spolupráce v oblasti doktorského studia</w:t>
      </w:r>
      <w:r w:rsidR="00687F56">
        <w:rPr>
          <w:i/>
          <w:lang w:val="cs-CZ"/>
        </w:rPr>
        <w:t xml:space="preserve">, </w:t>
      </w:r>
      <w:r w:rsidRPr="00375A49">
        <w:rPr>
          <w:i/>
          <w:lang w:val="cs-CZ"/>
        </w:rPr>
        <w:t xml:space="preserve">např. budování otevřenosti doktorských studijních programů pro cizí státní příslušníky a vytváření </w:t>
      </w:r>
      <w:r w:rsidR="00971967">
        <w:rPr>
          <w:i/>
          <w:lang w:val="cs-CZ"/>
        </w:rPr>
        <w:t>mezinárodních sítí doktorských studií</w:t>
      </w:r>
      <w:r w:rsidRPr="00375A49">
        <w:rPr>
          <w:i/>
          <w:lang w:val="cs-CZ"/>
        </w:rPr>
        <w:t xml:space="preserve">, </w:t>
      </w:r>
      <w:r w:rsidR="00A3439A">
        <w:rPr>
          <w:i/>
          <w:lang w:val="cs-CZ"/>
        </w:rPr>
        <w:t>péče o</w:t>
      </w:r>
      <w:r w:rsidRPr="00375A49">
        <w:rPr>
          <w:i/>
          <w:lang w:val="cs-CZ"/>
        </w:rPr>
        <w:t xml:space="preserve"> zahraniční student</w:t>
      </w:r>
      <w:r w:rsidR="00A3439A">
        <w:rPr>
          <w:i/>
          <w:lang w:val="cs-CZ"/>
        </w:rPr>
        <w:t>y</w:t>
      </w:r>
      <w:r w:rsidRPr="00375A49">
        <w:rPr>
          <w:i/>
          <w:lang w:val="cs-CZ"/>
        </w:rPr>
        <w:t xml:space="preserve"> přijíždějící v rámci mobility, podpora a existence společných </w:t>
      </w:r>
      <w:r w:rsidR="00971967">
        <w:rPr>
          <w:i/>
          <w:lang w:val="cs-CZ"/>
        </w:rPr>
        <w:t xml:space="preserve">individuálních </w:t>
      </w:r>
      <w:r w:rsidRPr="00375A49">
        <w:rPr>
          <w:i/>
          <w:lang w:val="cs-CZ"/>
        </w:rPr>
        <w:t>doktorských studií v </w:t>
      </w:r>
      <w:r w:rsidR="00687F56">
        <w:rPr>
          <w:i/>
          <w:lang w:val="cs-CZ"/>
        </w:rPr>
        <w:t>rámci mezinárodní spolupráce (ku</w:t>
      </w:r>
      <w:r w:rsidRPr="00375A49">
        <w:rPr>
          <w:i/>
          <w:lang w:val="cs-CZ"/>
        </w:rPr>
        <w:t xml:space="preserve">př. </w:t>
      </w:r>
      <w:r w:rsidR="00A3439A">
        <w:rPr>
          <w:i/>
          <w:lang w:val="cs-CZ"/>
        </w:rPr>
        <w:t>„</w:t>
      </w:r>
      <w:r w:rsidRPr="00375A49">
        <w:rPr>
          <w:i/>
          <w:lang w:val="cs-CZ"/>
        </w:rPr>
        <w:t>joint degree</w:t>
      </w:r>
      <w:r w:rsidR="00A3439A">
        <w:rPr>
          <w:i/>
          <w:lang w:val="cs-CZ"/>
        </w:rPr>
        <w:t>“</w:t>
      </w:r>
      <w:r w:rsidR="00687F56">
        <w:rPr>
          <w:i/>
          <w:lang w:val="cs-CZ"/>
        </w:rPr>
        <w:t>), individuální kontrakty</w:t>
      </w:r>
      <w:r w:rsidRPr="00375A49">
        <w:rPr>
          <w:i/>
          <w:lang w:val="cs-CZ"/>
        </w:rPr>
        <w:t xml:space="preserve"> (např. </w:t>
      </w:r>
      <w:r w:rsidR="00A3439A">
        <w:rPr>
          <w:i/>
          <w:lang w:val="cs-CZ"/>
        </w:rPr>
        <w:t>„</w:t>
      </w:r>
      <w:r w:rsidRPr="00375A49">
        <w:rPr>
          <w:i/>
          <w:lang w:val="cs-CZ"/>
        </w:rPr>
        <w:t>cotutelle</w:t>
      </w:r>
      <w:r w:rsidR="00A3439A">
        <w:rPr>
          <w:i/>
          <w:lang w:val="cs-CZ"/>
        </w:rPr>
        <w:t>“</w:t>
      </w:r>
      <w:r w:rsidRPr="00375A49">
        <w:rPr>
          <w:i/>
          <w:lang w:val="cs-CZ"/>
        </w:rPr>
        <w:t>)</w:t>
      </w:r>
      <w:r w:rsidR="00687F56">
        <w:rPr>
          <w:i/>
          <w:lang w:val="cs-CZ"/>
        </w:rPr>
        <w:t>,</w:t>
      </w:r>
      <w:r w:rsidRPr="00375A49">
        <w:rPr>
          <w:i/>
          <w:lang w:val="cs-CZ"/>
        </w:rPr>
        <w:t xml:space="preserve"> studijní pobyty a výzkumné stáže v zahraničí atd.</w:t>
      </w:r>
    </w:p>
    <w:p w:rsidR="000F31B0" w:rsidRPr="00F11DA3" w:rsidRDefault="000F31B0" w:rsidP="000F31B0">
      <w:pPr>
        <w:jc w:val="both"/>
        <w:rPr>
          <w:rFonts w:ascii="Times New Roman" w:hAnsi="Times New Roman"/>
          <w:bCs/>
          <w:sz w:val="18"/>
          <w:szCs w:val="18"/>
          <w:lang w:val="cs-CZ"/>
        </w:rPr>
      </w:pPr>
    </w:p>
    <w:p w:rsidR="003C62A2" w:rsidRPr="003C62A2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4.8 Navazující kariéry absolventů doktorského studia </w:t>
      </w:r>
      <w:r w:rsidR="003C62A2" w:rsidRPr="003C62A2">
        <w:rPr>
          <w:lang w:val="cs-CZ"/>
        </w:rPr>
        <w:t>(podmínky podpory)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uvede konkrétní </w:t>
      </w:r>
      <w:r w:rsidR="00A3439A">
        <w:rPr>
          <w:i/>
          <w:lang w:val="cs-CZ"/>
        </w:rPr>
        <w:t xml:space="preserve">opatření k </w:t>
      </w:r>
      <w:r w:rsidRPr="00375A49">
        <w:rPr>
          <w:i/>
          <w:lang w:val="cs-CZ"/>
        </w:rPr>
        <w:t>podp</w:t>
      </w:r>
      <w:r w:rsidR="00A3439A">
        <w:rPr>
          <w:i/>
          <w:lang w:val="cs-CZ"/>
        </w:rPr>
        <w:t>oře</w:t>
      </w:r>
      <w:r w:rsidRPr="00375A49">
        <w:rPr>
          <w:i/>
          <w:lang w:val="cs-CZ"/>
        </w:rPr>
        <w:t xml:space="preserve"> absolvent</w:t>
      </w:r>
      <w:r w:rsidR="00A3439A">
        <w:rPr>
          <w:i/>
          <w:lang w:val="cs-CZ"/>
        </w:rPr>
        <w:t>ů</w:t>
      </w:r>
      <w:r w:rsidRPr="00375A49">
        <w:rPr>
          <w:i/>
          <w:lang w:val="cs-CZ"/>
        </w:rPr>
        <w:t xml:space="preserve"> doktorského studia (např. interní dotační schémata zaměřená na další rozvoj začínajících vědců, postdoků</w:t>
      </w:r>
      <w:r w:rsidR="00A3439A">
        <w:rPr>
          <w:i/>
          <w:lang w:val="cs-CZ"/>
        </w:rPr>
        <w:t>, akt</w:t>
      </w:r>
      <w:r w:rsidR="00C575B9">
        <w:rPr>
          <w:i/>
          <w:lang w:val="cs-CZ"/>
        </w:rPr>
        <w:t>ivní vyhledávání příležitostí v </w:t>
      </w:r>
      <w:r w:rsidR="00A3439A">
        <w:rPr>
          <w:i/>
          <w:lang w:val="cs-CZ"/>
        </w:rPr>
        <w:t>zahraničí</w:t>
      </w:r>
      <w:r w:rsidRPr="00375A49">
        <w:rPr>
          <w:i/>
          <w:lang w:val="cs-CZ"/>
        </w:rPr>
        <w:t xml:space="preserve"> apod.) a poskytne </w:t>
      </w:r>
      <w:r w:rsidR="00A3439A">
        <w:rPr>
          <w:i/>
          <w:lang w:val="cs-CZ"/>
        </w:rPr>
        <w:t xml:space="preserve">reprezentativní </w:t>
      </w:r>
      <w:r w:rsidRPr="00375A49">
        <w:rPr>
          <w:i/>
          <w:lang w:val="cs-CZ"/>
        </w:rPr>
        <w:t xml:space="preserve">údaje o navazující kariéře absolventů doktorského studia v rozsahu </w:t>
      </w:r>
      <w:r w:rsidR="00A3439A">
        <w:rPr>
          <w:i/>
          <w:lang w:val="cs-CZ"/>
        </w:rPr>
        <w:t>nanejvýše</w:t>
      </w:r>
      <w:r w:rsidRPr="00375A49">
        <w:rPr>
          <w:i/>
          <w:lang w:val="cs-CZ"/>
        </w:rPr>
        <w:t> 10 příkladů uplatnění absolventů za hodnocené období</w:t>
      </w:r>
      <w:r w:rsidR="00DD6F5D">
        <w:rPr>
          <w:i/>
          <w:lang w:val="cs-CZ"/>
        </w:rPr>
        <w:t xml:space="preserve"> 2014 až 2018 v příloze (tab. </w:t>
      </w:r>
      <w:r w:rsidRPr="00375A49">
        <w:rPr>
          <w:i/>
          <w:lang w:val="cs-CZ"/>
        </w:rPr>
        <w:t>4.8.1).</w:t>
      </w:r>
    </w:p>
    <w:p w:rsidR="000F31B0" w:rsidRPr="00375A49" w:rsidRDefault="000F31B0" w:rsidP="000F31B0">
      <w:pPr>
        <w:jc w:val="both"/>
        <w:rPr>
          <w:i/>
          <w:lang w:val="cs-CZ"/>
        </w:rPr>
      </w:pPr>
    </w:p>
    <w:p w:rsidR="000F31B0" w:rsidRPr="00427A51" w:rsidRDefault="000F31B0" w:rsidP="000F31B0">
      <w:pPr>
        <w:jc w:val="both"/>
        <w:rPr>
          <w:lang w:val="cs-CZ"/>
        </w:rPr>
      </w:pPr>
      <w:r w:rsidRPr="00375A49">
        <w:rPr>
          <w:b/>
          <w:lang w:val="cs-CZ"/>
        </w:rPr>
        <w:t xml:space="preserve">4.9 Pravidla financování doktorských studentů, včetně zahraničních </w:t>
      </w:r>
      <w:r w:rsidR="00427A51" w:rsidRPr="00427A51">
        <w:rPr>
          <w:lang w:val="cs-CZ"/>
        </w:rPr>
        <w:t>(stimulační a motivační nástroje)</w:t>
      </w:r>
    </w:p>
    <w:p w:rsidR="000F31B0" w:rsidRPr="00687F56" w:rsidRDefault="00687F56" w:rsidP="000F31B0">
      <w:pPr>
        <w:jc w:val="both"/>
        <w:rPr>
          <w:rFonts w:cstheme="minorHAnsi"/>
          <w:i/>
          <w:lang w:val="cs-CZ"/>
        </w:rPr>
      </w:pPr>
      <w:r w:rsidRPr="00687F56">
        <w:rPr>
          <w:rFonts w:cstheme="minorHAnsi"/>
          <w:i/>
          <w:lang w:val="cs-CZ"/>
        </w:rPr>
        <w:t>Vysoká škola poskytne informace o způsobech financování doktorských studentů</w:t>
      </w:r>
      <w:r w:rsidR="00503ABF">
        <w:rPr>
          <w:rFonts w:cstheme="minorHAnsi"/>
          <w:i/>
          <w:lang w:val="cs-CZ"/>
        </w:rPr>
        <w:t xml:space="preserve"> (dále též Ph.D. studentů)</w:t>
      </w:r>
      <w:r>
        <w:rPr>
          <w:rFonts w:cstheme="minorHAnsi"/>
          <w:i/>
          <w:lang w:val="cs-CZ"/>
        </w:rPr>
        <w:t>, včetně zahraničních studentů,</w:t>
      </w:r>
      <w:r w:rsidRPr="00687F56">
        <w:rPr>
          <w:rFonts w:cstheme="minorHAnsi"/>
          <w:i/>
          <w:lang w:val="cs-CZ"/>
        </w:rPr>
        <w:t xml:space="preserve"> a to informace jak o osobních nákladech (stipendia), tak o ostatních nákladech. Vysoká škola dále uvede konkrétní stimulační a motivační nástroje finanční podpory doktorského studia nad rámec pravidelného stipendia.</w:t>
      </w:r>
    </w:p>
    <w:p w:rsidR="007A1A4B" w:rsidRDefault="007A1A4B" w:rsidP="000F31B0">
      <w:pPr>
        <w:jc w:val="both"/>
        <w:rPr>
          <w:rFonts w:cstheme="minorHAnsi"/>
          <w:b/>
          <w:lang w:val="cs-CZ"/>
        </w:rPr>
      </w:pPr>
    </w:p>
    <w:p w:rsidR="007A1A4B" w:rsidRDefault="007A1A4B" w:rsidP="000F31B0">
      <w:pPr>
        <w:jc w:val="both"/>
        <w:rPr>
          <w:rFonts w:cstheme="minorHAnsi"/>
          <w:b/>
          <w:lang w:val="cs-CZ"/>
        </w:rPr>
      </w:pPr>
    </w:p>
    <w:p w:rsidR="007A1A4B" w:rsidRDefault="007A1A4B" w:rsidP="000F31B0">
      <w:pPr>
        <w:jc w:val="both"/>
        <w:rPr>
          <w:rFonts w:cstheme="minorHAnsi"/>
          <w:b/>
          <w:lang w:val="cs-CZ"/>
        </w:rPr>
      </w:pPr>
    </w:p>
    <w:p w:rsidR="00687F56" w:rsidRDefault="00687F56" w:rsidP="000F31B0">
      <w:pPr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rFonts w:cstheme="minorHAnsi"/>
          <w:b/>
          <w:lang w:val="cs-CZ"/>
        </w:rPr>
        <w:t xml:space="preserve">NÁRODNÍ A MEZINÁRODNÍ SPOLUPRÁCE A MOBILITA VE </w:t>
      </w:r>
      <w:r w:rsidR="002415C8">
        <w:rPr>
          <w:rFonts w:cstheme="minorHAnsi"/>
          <w:b/>
          <w:lang w:val="cs-CZ"/>
        </w:rPr>
        <w:t>VAVAI</w:t>
      </w:r>
      <w:r w:rsidRPr="00375A49">
        <w:rPr>
          <w:rFonts w:cstheme="minorHAnsi"/>
          <w:b/>
          <w:lang w:val="cs-CZ"/>
        </w:rPr>
        <w:t xml:space="preserve"> </w:t>
      </w:r>
    </w:p>
    <w:p w:rsidR="000F31B0" w:rsidRPr="00375A49" w:rsidRDefault="000F31B0" w:rsidP="000F31B0">
      <w:pPr>
        <w:ind w:left="360"/>
        <w:jc w:val="both"/>
        <w:rPr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4.10 Významné spolupráce ve </w:t>
      </w:r>
      <w:r w:rsidR="002415C8">
        <w:rPr>
          <w:b/>
          <w:lang w:val="cs-CZ"/>
        </w:rPr>
        <w:t>VaVaI</w:t>
      </w:r>
      <w:r w:rsidRPr="00375A49">
        <w:rPr>
          <w:b/>
          <w:lang w:val="cs-CZ"/>
        </w:rPr>
        <w:t xml:space="preserve"> na národní úrovni</w:t>
      </w:r>
    </w:p>
    <w:p w:rsidR="000F31B0" w:rsidRPr="0017416E" w:rsidRDefault="000F31B0" w:rsidP="000F31B0">
      <w:pPr>
        <w:jc w:val="both"/>
        <w:rPr>
          <w:i/>
          <w:lang w:val="cs-CZ"/>
        </w:rPr>
      </w:pPr>
      <w:r w:rsidRPr="0017416E">
        <w:rPr>
          <w:i/>
          <w:lang w:val="cs-CZ"/>
        </w:rPr>
        <w:t>Vysoká škola popíše (</w:t>
      </w:r>
      <w:r w:rsidR="00A3439A" w:rsidRPr="0017416E">
        <w:rPr>
          <w:i/>
          <w:lang w:val="cs-CZ"/>
        </w:rPr>
        <w:t>nanejvýše</w:t>
      </w:r>
      <w:r w:rsidR="00A3439A" w:rsidRPr="0017416E" w:rsidDel="00A3439A">
        <w:rPr>
          <w:i/>
          <w:lang w:val="cs-CZ"/>
        </w:rPr>
        <w:t xml:space="preserve"> </w:t>
      </w:r>
      <w:r w:rsidRPr="0017416E">
        <w:rPr>
          <w:i/>
          <w:lang w:val="cs-CZ"/>
        </w:rPr>
        <w:t>na 5 příkladech</w:t>
      </w:r>
      <w:r w:rsidR="00F11B8E" w:rsidRPr="0017416E">
        <w:rPr>
          <w:i/>
          <w:lang w:val="cs-CZ"/>
        </w:rPr>
        <w:t>)</w:t>
      </w:r>
      <w:r w:rsidRPr="0017416E">
        <w:rPr>
          <w:i/>
          <w:lang w:val="cs-CZ"/>
        </w:rPr>
        <w:t xml:space="preserve"> konkrétn</w:t>
      </w:r>
      <w:r w:rsidR="00F11B8E" w:rsidRPr="0017416E">
        <w:rPr>
          <w:i/>
          <w:lang w:val="cs-CZ"/>
        </w:rPr>
        <w:t>í</w:t>
      </w:r>
      <w:r w:rsidRPr="0017416E">
        <w:rPr>
          <w:i/>
          <w:lang w:val="cs-CZ"/>
        </w:rPr>
        <w:t xml:space="preserve"> </w:t>
      </w:r>
      <w:r w:rsidR="00BB516F" w:rsidRPr="0017416E">
        <w:rPr>
          <w:i/>
          <w:lang w:val="cs-CZ"/>
        </w:rPr>
        <w:t xml:space="preserve">případy </w:t>
      </w:r>
      <w:r w:rsidRPr="0017416E">
        <w:rPr>
          <w:i/>
          <w:lang w:val="cs-CZ"/>
        </w:rPr>
        <w:t xml:space="preserve"> spolupráce </w:t>
      </w:r>
      <w:r w:rsidR="00C117B1" w:rsidRPr="0017416E">
        <w:rPr>
          <w:i/>
          <w:lang w:val="cs-CZ"/>
        </w:rPr>
        <w:t xml:space="preserve">ve </w:t>
      </w:r>
      <w:r w:rsidR="002415C8">
        <w:rPr>
          <w:i/>
          <w:lang w:val="cs-CZ"/>
        </w:rPr>
        <w:t>VaVaI</w:t>
      </w:r>
      <w:r w:rsidR="00C117B1" w:rsidRPr="0017416E">
        <w:rPr>
          <w:i/>
          <w:lang w:val="cs-CZ"/>
        </w:rPr>
        <w:t xml:space="preserve"> </w:t>
      </w:r>
      <w:r w:rsidRPr="0017416E">
        <w:rPr>
          <w:i/>
          <w:lang w:val="cs-CZ"/>
        </w:rPr>
        <w:t>na národní úrovn</w:t>
      </w:r>
      <w:r w:rsidR="00C117B1" w:rsidRPr="0017416E">
        <w:rPr>
          <w:i/>
          <w:lang w:val="cs-CZ"/>
        </w:rPr>
        <w:t>i</w:t>
      </w:r>
      <w:r w:rsidR="0017416E" w:rsidRPr="0017416E">
        <w:rPr>
          <w:i/>
          <w:lang w:val="cs-CZ"/>
        </w:rPr>
        <w:t>.</w:t>
      </w:r>
    </w:p>
    <w:p w:rsidR="003C62A2" w:rsidRDefault="003C62A2" w:rsidP="000F31B0">
      <w:pPr>
        <w:jc w:val="both"/>
        <w:rPr>
          <w:b/>
          <w:lang w:val="cs-CZ"/>
        </w:rPr>
      </w:pPr>
    </w:p>
    <w:p w:rsidR="000F31B0" w:rsidRPr="0017416E" w:rsidRDefault="000F31B0" w:rsidP="000F31B0">
      <w:pPr>
        <w:jc w:val="both"/>
        <w:rPr>
          <w:b/>
          <w:lang w:val="cs-CZ"/>
        </w:rPr>
      </w:pPr>
      <w:r w:rsidRPr="0017416E">
        <w:rPr>
          <w:b/>
          <w:lang w:val="cs-CZ"/>
        </w:rPr>
        <w:t xml:space="preserve">4.11 Významné spolupráce ve </w:t>
      </w:r>
      <w:r w:rsidR="002415C8">
        <w:rPr>
          <w:b/>
          <w:lang w:val="cs-CZ"/>
        </w:rPr>
        <w:t>VaVaI</w:t>
      </w:r>
      <w:r w:rsidRPr="0017416E">
        <w:rPr>
          <w:b/>
          <w:lang w:val="cs-CZ"/>
        </w:rPr>
        <w:t xml:space="preserve"> na mezinárodní úrovni</w:t>
      </w:r>
    </w:p>
    <w:p w:rsidR="000F31B0" w:rsidRPr="0017416E" w:rsidRDefault="000F31B0" w:rsidP="0017416E">
      <w:pPr>
        <w:jc w:val="both"/>
        <w:rPr>
          <w:i/>
          <w:lang w:val="cs-CZ"/>
        </w:rPr>
      </w:pPr>
      <w:r w:rsidRPr="0017416E">
        <w:rPr>
          <w:i/>
          <w:lang w:val="cs-CZ"/>
        </w:rPr>
        <w:t>Vysoká škola popíše (</w:t>
      </w:r>
      <w:r w:rsidR="00C1438F" w:rsidRPr="0017416E">
        <w:rPr>
          <w:i/>
          <w:lang w:val="cs-CZ"/>
        </w:rPr>
        <w:t>nanejvýše</w:t>
      </w:r>
      <w:r w:rsidR="00C1438F" w:rsidRPr="0017416E" w:rsidDel="00C1438F">
        <w:rPr>
          <w:i/>
          <w:lang w:val="cs-CZ"/>
        </w:rPr>
        <w:t xml:space="preserve"> </w:t>
      </w:r>
      <w:r w:rsidRPr="0017416E">
        <w:rPr>
          <w:i/>
          <w:lang w:val="cs-CZ"/>
        </w:rPr>
        <w:t>na 10 příkladech</w:t>
      </w:r>
      <w:r w:rsidR="00C1438F" w:rsidRPr="0017416E">
        <w:rPr>
          <w:i/>
          <w:lang w:val="cs-CZ"/>
        </w:rPr>
        <w:t>)</w:t>
      </w:r>
      <w:r w:rsidRPr="0017416E">
        <w:rPr>
          <w:i/>
          <w:lang w:val="cs-CZ"/>
        </w:rPr>
        <w:t xml:space="preserve"> konkrétn</w:t>
      </w:r>
      <w:r w:rsidR="00C1438F" w:rsidRPr="0017416E">
        <w:rPr>
          <w:i/>
          <w:lang w:val="cs-CZ"/>
        </w:rPr>
        <w:t>í</w:t>
      </w:r>
      <w:r w:rsidRPr="0017416E">
        <w:rPr>
          <w:i/>
          <w:lang w:val="cs-CZ"/>
        </w:rPr>
        <w:t xml:space="preserve"> </w:t>
      </w:r>
      <w:r w:rsidR="00C117B1" w:rsidRPr="0017416E">
        <w:rPr>
          <w:i/>
          <w:lang w:val="cs-CZ"/>
        </w:rPr>
        <w:t xml:space="preserve">případy spolupráce ve </w:t>
      </w:r>
      <w:r w:rsidR="002415C8">
        <w:rPr>
          <w:i/>
          <w:lang w:val="cs-CZ"/>
        </w:rPr>
        <w:t>VaVaI</w:t>
      </w:r>
      <w:r w:rsidRPr="0017416E">
        <w:rPr>
          <w:i/>
          <w:lang w:val="cs-CZ"/>
        </w:rPr>
        <w:t xml:space="preserve"> </w:t>
      </w:r>
      <w:r w:rsidR="00C117B1" w:rsidRPr="0017416E">
        <w:rPr>
          <w:i/>
          <w:lang w:val="cs-CZ"/>
        </w:rPr>
        <w:t>na</w:t>
      </w:r>
      <w:r w:rsidRPr="0017416E">
        <w:rPr>
          <w:i/>
          <w:lang w:val="cs-CZ"/>
        </w:rPr>
        <w:t xml:space="preserve"> mezinárodní </w:t>
      </w:r>
      <w:r w:rsidR="00C117B1" w:rsidRPr="0017416E">
        <w:rPr>
          <w:i/>
          <w:lang w:val="cs-CZ"/>
        </w:rPr>
        <w:t>úrovni</w:t>
      </w:r>
      <w:r w:rsidR="0017416E" w:rsidRPr="0017416E">
        <w:rPr>
          <w:i/>
          <w:lang w:val="cs-CZ"/>
        </w:rPr>
        <w:t>.</w:t>
      </w:r>
      <w:r w:rsidRPr="0017416E">
        <w:rPr>
          <w:i/>
          <w:lang w:val="cs-CZ"/>
        </w:rPr>
        <w:t xml:space="preserve"> 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17416E">
        <w:rPr>
          <w:i/>
          <w:lang w:val="cs-CZ"/>
        </w:rPr>
        <w:t xml:space="preserve">Vysoká škola specifikuje formy mezinárodní spolupráce stručně dle </w:t>
      </w:r>
      <w:r w:rsidR="00C1438F" w:rsidRPr="0017416E">
        <w:rPr>
          <w:i/>
          <w:lang w:val="cs-CZ"/>
        </w:rPr>
        <w:t>vlastního uvážení</w:t>
      </w:r>
      <w:r w:rsidRPr="0017416E">
        <w:rPr>
          <w:i/>
          <w:lang w:val="cs-CZ"/>
        </w:rPr>
        <w:t>. Dále na </w:t>
      </w:r>
      <w:r w:rsidR="00C1438F" w:rsidRPr="0017416E">
        <w:rPr>
          <w:i/>
          <w:lang w:val="cs-CZ"/>
        </w:rPr>
        <w:t>nanejvýše</w:t>
      </w:r>
      <w:r w:rsidR="00C1438F" w:rsidRPr="0017416E" w:rsidDel="00C1438F">
        <w:rPr>
          <w:i/>
          <w:lang w:val="cs-CZ"/>
        </w:rPr>
        <w:t xml:space="preserve"> </w:t>
      </w:r>
      <w:r w:rsidRPr="0017416E">
        <w:rPr>
          <w:i/>
          <w:lang w:val="cs-CZ"/>
        </w:rPr>
        <w:t xml:space="preserve">10 příkladech uvede stručně a konkrétně výsledky a dopady do oblasti </w:t>
      </w:r>
      <w:r w:rsidR="002415C8">
        <w:rPr>
          <w:i/>
          <w:lang w:val="cs-CZ"/>
        </w:rPr>
        <w:t>VaVaI</w:t>
      </w:r>
      <w:r w:rsidRPr="0017416E">
        <w:rPr>
          <w:i/>
          <w:lang w:val="cs-CZ"/>
        </w:rPr>
        <w:t xml:space="preserve"> plynoucí pro vysokou školu z mezinárodní spolupráce popsané výše.</w:t>
      </w:r>
    </w:p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4.12 Mobilita akademických a výzkumných pracovníků </w:t>
      </w:r>
      <w:r w:rsidRPr="00427A51">
        <w:rPr>
          <w:lang w:val="cs-CZ"/>
        </w:rPr>
        <w:t>(vč. sektorové a mezisektorové mobility)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Vysoká škola stručně a strukturovaně popíše mobilitu akademických a výzkumných pracovníků se zachycením následujících podtémat:</w:t>
      </w:r>
    </w:p>
    <w:p w:rsidR="000F31B0" w:rsidRPr="00375A49" w:rsidRDefault="000F31B0" w:rsidP="000F31B0">
      <w:pPr>
        <w:pStyle w:val="Odstavecseseznamem"/>
        <w:numPr>
          <w:ilvl w:val="0"/>
          <w:numId w:val="2"/>
        </w:numPr>
        <w:jc w:val="both"/>
        <w:rPr>
          <w:i/>
          <w:lang w:val="cs-CZ"/>
        </w:rPr>
      </w:pPr>
      <w:r w:rsidRPr="00375A49">
        <w:rPr>
          <w:i/>
          <w:lang w:val="cs-CZ"/>
        </w:rPr>
        <w:t>mobilita doktorských studentů a akademických pracovníků v souvislosti s </w:t>
      </w:r>
      <w:r w:rsidR="002415C8">
        <w:rPr>
          <w:i/>
          <w:lang w:val="cs-CZ"/>
        </w:rPr>
        <w:t>VaVaI</w:t>
      </w:r>
      <w:r w:rsidRPr="00375A49">
        <w:rPr>
          <w:i/>
          <w:lang w:val="cs-CZ"/>
        </w:rPr>
        <w:t xml:space="preserve"> (strategie, systém, koncepce); uvede </w:t>
      </w:r>
      <w:r w:rsidR="00E05F93">
        <w:rPr>
          <w:i/>
          <w:lang w:val="cs-CZ"/>
        </w:rPr>
        <w:t>nanejvýše</w:t>
      </w:r>
      <w:r w:rsidR="00E05F93" w:rsidRPr="00375A49" w:rsidDel="00E05F93">
        <w:rPr>
          <w:i/>
          <w:lang w:val="cs-CZ"/>
        </w:rPr>
        <w:t xml:space="preserve"> </w:t>
      </w:r>
      <w:r w:rsidRPr="00375A49">
        <w:rPr>
          <w:i/>
          <w:lang w:val="cs-CZ"/>
        </w:rPr>
        <w:t>10 konkrétních příkladů, které pokládá za obzvlášť přínosné,</w:t>
      </w:r>
    </w:p>
    <w:p w:rsidR="000F31B0" w:rsidRPr="00375A49" w:rsidRDefault="000F31B0" w:rsidP="000F31B0">
      <w:pPr>
        <w:pStyle w:val="Odstavecseseznamem"/>
        <w:numPr>
          <w:ilvl w:val="0"/>
          <w:numId w:val="2"/>
        </w:num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případné bariéry pro mobilitu </w:t>
      </w:r>
      <w:r w:rsidR="00E05F93">
        <w:rPr>
          <w:i/>
          <w:lang w:val="cs-CZ"/>
        </w:rPr>
        <w:t>akademických a výzkumných pracovníků</w:t>
      </w:r>
      <w:r w:rsidRPr="00375A49">
        <w:rPr>
          <w:i/>
          <w:lang w:val="cs-CZ"/>
        </w:rPr>
        <w:t>.</w:t>
      </w:r>
    </w:p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4.13 Internacionalizace vnitřního prostředí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popíše základní rámec internacionalizace svého vnitřního prostředí ve vazbě na oblast </w:t>
      </w:r>
      <w:r w:rsidR="00C575B9">
        <w:rPr>
          <w:i/>
          <w:lang w:val="cs-CZ"/>
        </w:rPr>
        <w:t>VaVaI</w:t>
      </w:r>
      <w:r w:rsidRPr="00375A49">
        <w:rPr>
          <w:i/>
          <w:lang w:val="cs-CZ"/>
        </w:rPr>
        <w:t xml:space="preserve"> a uvede nástroje pro naplnění cílů internacionalizace a způsob jejich implementace.</w:t>
      </w:r>
      <w:r w:rsidR="00E05F93">
        <w:rPr>
          <w:i/>
          <w:lang w:val="cs-CZ"/>
        </w:rPr>
        <w:t xml:space="preserve"> Lze zmínit i</w:t>
      </w:r>
      <w:r w:rsidR="00C60731">
        <w:rPr>
          <w:i/>
          <w:lang w:val="cs-CZ"/>
        </w:rPr>
        <w:t> </w:t>
      </w:r>
      <w:r w:rsidR="00E05F93">
        <w:rPr>
          <w:i/>
          <w:lang w:val="cs-CZ"/>
        </w:rPr>
        <w:t>případné bariéry internacionalizace.</w:t>
      </w:r>
    </w:p>
    <w:p w:rsidR="000F31B0" w:rsidRPr="00375A49" w:rsidRDefault="000F31B0" w:rsidP="000F31B0">
      <w:pPr>
        <w:jc w:val="both"/>
        <w:rPr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LIDSKÉ ZDROJE A KARIÉRA VE </w:t>
      </w:r>
      <w:r w:rsidR="00C575B9">
        <w:rPr>
          <w:rFonts w:cstheme="minorHAnsi"/>
          <w:b/>
          <w:lang w:val="cs-CZ"/>
        </w:rPr>
        <w:t>VAVAI</w:t>
      </w:r>
      <w:r w:rsidRPr="00375A49">
        <w:rPr>
          <w:rFonts w:cstheme="minorHAnsi"/>
          <w:b/>
          <w:lang w:val="cs-CZ"/>
        </w:rPr>
        <w:t xml:space="preserve"> </w:t>
      </w:r>
    </w:p>
    <w:p w:rsidR="000F31B0" w:rsidRPr="00375A49" w:rsidRDefault="000F31B0" w:rsidP="000F31B0">
      <w:pPr>
        <w:ind w:left="360"/>
        <w:jc w:val="both"/>
        <w:rPr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4.14 Systém kariérního růstu akademických a výzkumných pracovníků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popíše systém kariérního růstu akademických a výzkumných pracovníků. Uvede informace o </w:t>
      </w:r>
      <w:r w:rsidR="00D573BC">
        <w:rPr>
          <w:i/>
          <w:lang w:val="cs-CZ"/>
        </w:rPr>
        <w:t xml:space="preserve">dlouhodobých </w:t>
      </w:r>
      <w:r w:rsidR="00E05F93">
        <w:rPr>
          <w:i/>
          <w:lang w:val="cs-CZ"/>
        </w:rPr>
        <w:t>pobytech</w:t>
      </w:r>
      <w:r w:rsidR="00D573BC">
        <w:rPr>
          <w:i/>
          <w:lang w:val="cs-CZ"/>
        </w:rPr>
        <w:t xml:space="preserve"> vlastních akademických pracovníků v zahraničí nebo naopak zahraničních pracovníků na hodnocené </w:t>
      </w:r>
      <w:r w:rsidR="00177D38">
        <w:rPr>
          <w:i/>
          <w:lang w:val="cs-CZ"/>
        </w:rPr>
        <w:t>vysoké škole</w:t>
      </w:r>
      <w:r w:rsidR="00D573BC">
        <w:rPr>
          <w:i/>
          <w:lang w:val="cs-CZ"/>
        </w:rPr>
        <w:t xml:space="preserve"> (</w:t>
      </w:r>
      <w:r w:rsidR="00BB516F">
        <w:rPr>
          <w:i/>
          <w:lang w:val="cs-CZ"/>
        </w:rPr>
        <w:t>tzv.</w:t>
      </w:r>
      <w:r w:rsidR="00BB516F" w:rsidRPr="00375A49">
        <w:rPr>
          <w:i/>
          <w:lang w:val="cs-CZ"/>
        </w:rPr>
        <w:t xml:space="preserve"> sabbatic</w:t>
      </w:r>
      <w:r w:rsidR="00BB516F">
        <w:rPr>
          <w:i/>
          <w:lang w:val="cs-CZ"/>
        </w:rPr>
        <w:t>al</w:t>
      </w:r>
      <w:r w:rsidR="00D573BC">
        <w:rPr>
          <w:i/>
          <w:lang w:val="cs-CZ"/>
        </w:rPr>
        <w:t xml:space="preserve">; </w:t>
      </w:r>
      <w:r w:rsidR="00F11B8E">
        <w:rPr>
          <w:i/>
          <w:lang w:val="cs-CZ"/>
        </w:rPr>
        <w:t>pokud existují pravidla nebo systém podpory)</w:t>
      </w:r>
      <w:r w:rsidRPr="00375A49">
        <w:rPr>
          <w:i/>
          <w:lang w:val="cs-CZ"/>
        </w:rPr>
        <w:t>, mezinárodních výběrových řízeních, pravidlech kariérního růstu, mentoringu</w:t>
      </w:r>
      <w:r w:rsidR="00D573BC">
        <w:rPr>
          <w:i/>
          <w:lang w:val="cs-CZ"/>
        </w:rPr>
        <w:t xml:space="preserve"> (pokud existuje)</w:t>
      </w:r>
      <w:r w:rsidRPr="00375A49">
        <w:rPr>
          <w:i/>
          <w:lang w:val="cs-CZ"/>
        </w:rPr>
        <w:t>, transparentním rozdělení institucionálních úvazků, postoji k řetězení smluv a vedoucích akademických pozic, opatření</w:t>
      </w:r>
      <w:r w:rsidR="00BD2E37">
        <w:rPr>
          <w:i/>
          <w:lang w:val="cs-CZ"/>
        </w:rPr>
        <w:t>ch</w:t>
      </w:r>
      <w:r w:rsidRPr="00375A49">
        <w:rPr>
          <w:i/>
          <w:lang w:val="cs-CZ"/>
        </w:rPr>
        <w:t xml:space="preserve"> k návratnosti pracovníků po pobytu na externím pracovišti vč. zahraničního, případně další relevantní informace dle vlastní úvahy. Poskytne odkaz na existující kariérní řád nebo obdobný dokument </w:t>
      </w:r>
      <w:r w:rsidR="00D573BC">
        <w:rPr>
          <w:i/>
          <w:lang w:val="cs-CZ"/>
        </w:rPr>
        <w:t>(pokud existuje)</w:t>
      </w:r>
      <w:r w:rsidR="00946049">
        <w:rPr>
          <w:i/>
          <w:lang w:val="cs-CZ"/>
        </w:rPr>
        <w:t>.</w:t>
      </w:r>
    </w:p>
    <w:p w:rsidR="000F31B0" w:rsidRPr="00375A49" w:rsidRDefault="000F31B0" w:rsidP="000F31B0">
      <w:pPr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4.15 Systém hodnocení akademických a výzkumných pracovníků a obsazování klíčových pozic ve </w:t>
      </w:r>
      <w:r w:rsidR="00C575B9">
        <w:rPr>
          <w:b/>
          <w:lang w:val="cs-CZ"/>
        </w:rPr>
        <w:t>VaVaI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stručně popíše systém hodnocení akademických a výzkumných pracovníků (základní pravidla a zásady interního hodnocení) a pravidla pro obsazování vedoucích </w:t>
      </w:r>
      <w:r w:rsidR="00C575B9">
        <w:rPr>
          <w:i/>
          <w:lang w:val="cs-CZ"/>
        </w:rPr>
        <w:t>pozic v souvislosti s </w:t>
      </w:r>
      <w:r w:rsidR="00177D38">
        <w:rPr>
          <w:i/>
          <w:lang w:val="cs-CZ"/>
        </w:rPr>
        <w:t>VaVaI</w:t>
      </w:r>
      <w:r w:rsidRPr="00375A49">
        <w:rPr>
          <w:i/>
          <w:lang w:val="cs-CZ"/>
        </w:rPr>
        <w:t>.</w:t>
      </w:r>
    </w:p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rPr>
          <w:b/>
          <w:lang w:val="cs-CZ"/>
        </w:rPr>
      </w:pPr>
      <w:r w:rsidRPr="00375A49">
        <w:rPr>
          <w:b/>
          <w:lang w:val="cs-CZ"/>
        </w:rPr>
        <w:t>4.16 Systém náboru výzkumných a akademických pracovníků z externího prostředí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Vysoká škola stručně popíše systém náboru akademických pracovníků z vnějšího prostředí,</w:t>
      </w:r>
      <w:r w:rsidR="00182D59">
        <w:rPr>
          <w:i/>
          <w:lang w:val="cs-CZ"/>
        </w:rPr>
        <w:t xml:space="preserve"> zejména ze zahraničí,</w:t>
      </w:r>
      <w:r w:rsidRPr="00375A49">
        <w:rPr>
          <w:i/>
          <w:lang w:val="cs-CZ"/>
        </w:rPr>
        <w:t xml:space="preserve"> tzv. „recruitment“ (pokud takový </w:t>
      </w:r>
      <w:r w:rsidR="00182D59">
        <w:rPr>
          <w:i/>
          <w:lang w:val="cs-CZ"/>
        </w:rPr>
        <w:t xml:space="preserve">systém na úrovni fakult nebo univerzity </w:t>
      </w:r>
      <w:r w:rsidRPr="00375A49">
        <w:rPr>
          <w:i/>
          <w:lang w:val="cs-CZ"/>
        </w:rPr>
        <w:t>existuje).</w:t>
      </w:r>
    </w:p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4.17 Struktura lidských zdrojů 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lastRenderedPageBreak/>
        <w:t>Vysoká škola popíše současný stav, věkovou strukturu a vývojový trend pracovníků, kteří se podíleli na </w:t>
      </w:r>
      <w:r w:rsidR="00C575B9">
        <w:rPr>
          <w:i/>
          <w:lang w:val="cs-CZ"/>
        </w:rPr>
        <w:t>VaVaI</w:t>
      </w:r>
      <w:r w:rsidR="00BD2E37">
        <w:rPr>
          <w:i/>
          <w:lang w:val="cs-CZ"/>
        </w:rPr>
        <w:t>,</w:t>
      </w:r>
      <w:r w:rsidRPr="00375A49">
        <w:rPr>
          <w:i/>
          <w:lang w:val="cs-CZ"/>
        </w:rPr>
        <w:t xml:space="preserve"> a jejich strukturu podle pracovního zařazení a genderu za hodnocené období</w:t>
      </w:r>
      <w:r w:rsidR="00DD6F5D">
        <w:rPr>
          <w:i/>
          <w:lang w:val="cs-CZ"/>
        </w:rPr>
        <w:t xml:space="preserve"> 2014 až 2018</w:t>
      </w:r>
      <w:r w:rsidRPr="00375A49">
        <w:rPr>
          <w:i/>
          <w:lang w:val="cs-CZ"/>
        </w:rPr>
        <w:t xml:space="preserve"> z přílohy (tab.  4.17.1, 4.17.2), včetně pracovníků s cizím státním občanstvím (vyjma pracovníků se slovenským státním </w:t>
      </w:r>
      <w:r w:rsidR="00C575B9">
        <w:rPr>
          <w:i/>
          <w:lang w:val="cs-CZ"/>
        </w:rPr>
        <w:t xml:space="preserve">občanstvím) podílejících se na VaVaI </w:t>
      </w:r>
      <w:r w:rsidRPr="00375A49">
        <w:rPr>
          <w:i/>
          <w:lang w:val="cs-CZ"/>
        </w:rPr>
        <w:t>vysoké školy z přílohy (tab. 4.17.3).</w:t>
      </w:r>
    </w:p>
    <w:p w:rsidR="000F31B0" w:rsidRPr="00375A49" w:rsidRDefault="00C377B1" w:rsidP="000F31B0">
      <w:pPr>
        <w:jc w:val="both"/>
        <w:rPr>
          <w:i/>
          <w:lang w:val="cs-CZ"/>
        </w:rPr>
      </w:pPr>
      <w:r>
        <w:rPr>
          <w:i/>
          <w:lang w:val="cs-CZ"/>
        </w:rPr>
        <w:t>V</w:t>
      </w:r>
      <w:r w:rsidR="000F31B0" w:rsidRPr="00375A49">
        <w:rPr>
          <w:i/>
          <w:lang w:val="cs-CZ"/>
        </w:rPr>
        <w:t>ysoká škola uvede, zda je držitelem značky HR Award, případně zda a jak usiluje o je</w:t>
      </w:r>
      <w:r w:rsidR="00C575B9">
        <w:rPr>
          <w:i/>
          <w:lang w:val="cs-CZ"/>
        </w:rPr>
        <w:t>jí</w:t>
      </w:r>
      <w:r w:rsidR="000F31B0" w:rsidRPr="00375A49">
        <w:rPr>
          <w:i/>
          <w:lang w:val="cs-CZ"/>
        </w:rPr>
        <w:t xml:space="preserve"> získání.</w:t>
      </w:r>
    </w:p>
    <w:p w:rsidR="000F31B0" w:rsidRPr="00375A49" w:rsidRDefault="000F31B0" w:rsidP="000F31B0">
      <w:pPr>
        <w:spacing w:line="240" w:lineRule="atLeast"/>
        <w:contextualSpacing/>
        <w:jc w:val="both"/>
        <w:rPr>
          <w:rFonts w:ascii="Times New Roman" w:hAnsi="Times New Roman" w:cs="Times New Roman"/>
          <w:u w:val="single"/>
          <w:lang w:val="cs-CZ"/>
        </w:rPr>
      </w:pPr>
    </w:p>
    <w:p w:rsidR="000F31B0" w:rsidRPr="000F31B0" w:rsidRDefault="000F31B0" w:rsidP="000F31B0">
      <w:pPr>
        <w:jc w:val="both"/>
        <w:rPr>
          <w:b/>
          <w:lang w:val="cs-CZ"/>
        </w:rPr>
      </w:pPr>
      <w:r w:rsidRPr="000F31B0">
        <w:rPr>
          <w:b/>
          <w:lang w:val="cs-CZ"/>
        </w:rPr>
        <w:t>4.18 Opatření tý</w:t>
      </w:r>
      <w:r>
        <w:rPr>
          <w:b/>
          <w:lang w:val="cs-CZ"/>
        </w:rPr>
        <w:t>kající se genderové rovnosti</w:t>
      </w:r>
      <w:r w:rsidRPr="000F31B0">
        <w:rPr>
          <w:b/>
          <w:lang w:val="cs-CZ"/>
        </w:rPr>
        <w:t xml:space="preserve"> </w:t>
      </w:r>
    </w:p>
    <w:p w:rsidR="000F31B0" w:rsidRPr="00436227" w:rsidRDefault="000F31B0" w:rsidP="000F31B0">
      <w:pPr>
        <w:jc w:val="both"/>
        <w:rPr>
          <w:i/>
          <w:lang w:val="cs-CZ"/>
        </w:rPr>
      </w:pPr>
      <w:r w:rsidRPr="00436227">
        <w:rPr>
          <w:i/>
          <w:lang w:val="cs-CZ"/>
        </w:rPr>
        <w:t xml:space="preserve">Vysoká škola stručně popíše opatření týkající se uplatňování genderové rovnosti v oblastech požadovaných u hodnotících kritérií 4.14, 4.15 a 4.16 s důrazem na kariérní postup, proces náboru, obsazování vedoucích pozic (vč. genderové rovnováhy ve vedoucích pozicích viz tab. 4.18.1 a tab. 4.18.2), nominací do odborných orgánů, hodnocení a odměňování. Dále stručně popíše opatření ke slaďování rodinného a pracovního života výzkumných pracovníků (flexibilní pracovní doba, flexibilní formy práce, management mateřské / rodičovské dovolené, usnadňování péče o děti / o osobu blízkou, věkový management ve </w:t>
      </w:r>
      <w:r w:rsidR="00EE5ADD">
        <w:rPr>
          <w:i/>
          <w:lang w:val="cs-CZ"/>
        </w:rPr>
        <w:t>vztahu k</w:t>
      </w:r>
      <w:r w:rsidR="00436227" w:rsidRPr="00436227">
        <w:rPr>
          <w:i/>
          <w:lang w:val="cs-CZ"/>
        </w:rPr>
        <w:t xml:space="preserve"> genderu</w:t>
      </w:r>
      <w:r w:rsidR="00B65000">
        <w:rPr>
          <w:i/>
          <w:lang w:val="cs-CZ"/>
        </w:rPr>
        <w:t>) a opatření elimin</w:t>
      </w:r>
      <w:r w:rsidRPr="00436227">
        <w:rPr>
          <w:i/>
          <w:lang w:val="cs-CZ"/>
        </w:rPr>
        <w:t>ující negativní jevy chování na pracovišti</w:t>
      </w:r>
      <w:r w:rsidR="00B65000">
        <w:rPr>
          <w:i/>
          <w:lang w:val="cs-CZ"/>
        </w:rPr>
        <w:t>,</w:t>
      </w:r>
      <w:r w:rsidRPr="00436227">
        <w:rPr>
          <w:i/>
          <w:lang w:val="cs-CZ"/>
        </w:rPr>
        <w:t xml:space="preserve"> jako je mobbing či sexuální obtěžování.</w:t>
      </w:r>
    </w:p>
    <w:p w:rsidR="000F31B0" w:rsidRPr="00375A49" w:rsidRDefault="000F31B0" w:rsidP="000F31B0">
      <w:pPr>
        <w:jc w:val="both"/>
        <w:rPr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FINANČNÍ ZDROJE PRO </w:t>
      </w:r>
      <w:r w:rsidR="00C575B9">
        <w:rPr>
          <w:rFonts w:cstheme="minorHAnsi"/>
          <w:b/>
          <w:lang w:val="cs-CZ"/>
        </w:rPr>
        <w:t>VAVAI</w:t>
      </w:r>
    </w:p>
    <w:p w:rsidR="000F31B0" w:rsidRPr="00375A49" w:rsidRDefault="000F31B0" w:rsidP="000F31B0">
      <w:pPr>
        <w:ind w:left="360"/>
        <w:jc w:val="both"/>
        <w:rPr>
          <w:b/>
          <w:lang w:val="cs-CZ"/>
        </w:rPr>
      </w:pPr>
    </w:p>
    <w:p w:rsidR="000F31B0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4.19 Struktura finančních zdrojů pro </w:t>
      </w:r>
      <w:r w:rsidR="00C575B9">
        <w:rPr>
          <w:b/>
          <w:lang w:val="cs-CZ"/>
        </w:rPr>
        <w:t>VaVaI</w:t>
      </w:r>
      <w:r w:rsidRPr="00375A49">
        <w:rPr>
          <w:b/>
          <w:lang w:val="cs-CZ"/>
        </w:rPr>
        <w:t xml:space="preserve"> </w:t>
      </w:r>
    </w:p>
    <w:p w:rsidR="00765FF6" w:rsidRPr="00375A49" w:rsidRDefault="00765FF6" w:rsidP="000F31B0">
      <w:pPr>
        <w:jc w:val="both"/>
        <w:rPr>
          <w:b/>
          <w:lang w:val="cs-CZ"/>
        </w:rPr>
      </w:pPr>
    </w:p>
    <w:p w:rsidR="00765FF6" w:rsidRPr="00375A49" w:rsidRDefault="00765FF6" w:rsidP="00765FF6">
      <w:pPr>
        <w:jc w:val="both"/>
        <w:rPr>
          <w:i/>
          <w:lang w:val="cs-CZ"/>
        </w:rPr>
      </w:pPr>
      <w:r w:rsidRPr="00400808">
        <w:rPr>
          <w:i/>
          <w:lang w:val="cs-CZ"/>
        </w:rPr>
        <w:t xml:space="preserve">Vysoká škola okomentuje podíly z celkových nákladů / výdajů hrazených z veřejných i neveřejných zdrojů podle druhu </w:t>
      </w:r>
      <w:r>
        <w:rPr>
          <w:i/>
          <w:lang w:val="cs-CZ"/>
        </w:rPr>
        <w:t>VaVaI</w:t>
      </w:r>
      <w:r w:rsidRPr="00400808">
        <w:rPr>
          <w:i/>
          <w:lang w:val="cs-CZ"/>
        </w:rPr>
        <w:t xml:space="preserve"> za hodnocené období </w:t>
      </w:r>
      <w:r>
        <w:rPr>
          <w:i/>
          <w:lang w:val="cs-CZ"/>
        </w:rPr>
        <w:t xml:space="preserve">2014 až 2018 </w:t>
      </w:r>
      <w:r w:rsidRPr="00400808">
        <w:rPr>
          <w:i/>
          <w:lang w:val="cs-CZ"/>
        </w:rPr>
        <w:t>podle tab. 4.19.1 z přílohy.</w:t>
      </w:r>
    </w:p>
    <w:p w:rsidR="00765FF6" w:rsidRPr="00375A49" w:rsidRDefault="00765FF6" w:rsidP="00765FF6">
      <w:pPr>
        <w:pStyle w:val="Textkomente"/>
        <w:rPr>
          <w:i/>
          <w:sz w:val="22"/>
          <w:szCs w:val="22"/>
          <w:lang w:val="cs-CZ"/>
        </w:rPr>
      </w:pPr>
    </w:p>
    <w:p w:rsidR="00765FF6" w:rsidRPr="00B84265" w:rsidRDefault="00765FF6" w:rsidP="00765FF6">
      <w:pPr>
        <w:pStyle w:val="Textkomente"/>
        <w:jc w:val="both"/>
        <w:rPr>
          <w:i/>
          <w:sz w:val="22"/>
          <w:szCs w:val="22"/>
          <w:lang w:val="cs-CZ"/>
        </w:rPr>
      </w:pPr>
      <w:r w:rsidRPr="00375A49">
        <w:rPr>
          <w:i/>
          <w:sz w:val="22"/>
          <w:szCs w:val="22"/>
          <w:lang w:val="cs-CZ"/>
        </w:rPr>
        <w:t xml:space="preserve">Jako komplementární údaj vysoká škola uvede </w:t>
      </w:r>
      <w:r>
        <w:rPr>
          <w:i/>
          <w:sz w:val="22"/>
          <w:szCs w:val="22"/>
          <w:lang w:val="cs-CZ"/>
        </w:rPr>
        <w:t>přehled</w:t>
      </w:r>
      <w:r w:rsidRPr="00375A49">
        <w:rPr>
          <w:i/>
          <w:sz w:val="22"/>
          <w:szCs w:val="22"/>
          <w:lang w:val="cs-CZ"/>
        </w:rPr>
        <w:t xml:space="preserve"> výzkumných projektů získaných za hodnocené období</w:t>
      </w:r>
      <w:r>
        <w:rPr>
          <w:i/>
          <w:sz w:val="22"/>
          <w:szCs w:val="22"/>
          <w:lang w:val="cs-CZ"/>
        </w:rPr>
        <w:t xml:space="preserve"> 2014 až 2018</w:t>
      </w:r>
      <w:r w:rsidRPr="00375A49">
        <w:rPr>
          <w:i/>
          <w:sz w:val="22"/>
          <w:szCs w:val="22"/>
          <w:lang w:val="cs-CZ"/>
        </w:rPr>
        <w:t xml:space="preserve">. Připojí informace o </w:t>
      </w:r>
      <w:r>
        <w:rPr>
          <w:i/>
          <w:sz w:val="22"/>
          <w:szCs w:val="22"/>
          <w:lang w:val="cs-CZ"/>
        </w:rPr>
        <w:t>výši získaných prostředků</w:t>
      </w:r>
      <w:r w:rsidRPr="00375A49">
        <w:rPr>
          <w:i/>
          <w:sz w:val="22"/>
          <w:szCs w:val="22"/>
          <w:lang w:val="cs-CZ"/>
        </w:rPr>
        <w:t xml:space="preserve"> a o tom, zda šlo o projekty řešitelské, nebo spoluřešitelské v tab. 4.19.2</w:t>
      </w:r>
      <w:r>
        <w:rPr>
          <w:i/>
          <w:sz w:val="22"/>
          <w:szCs w:val="22"/>
          <w:lang w:val="cs-CZ"/>
        </w:rPr>
        <w:t xml:space="preserve">, 4.19.3 </w:t>
      </w:r>
      <w:r w:rsidRPr="00375A49">
        <w:rPr>
          <w:i/>
          <w:sz w:val="22"/>
          <w:szCs w:val="22"/>
          <w:lang w:val="cs-CZ"/>
        </w:rPr>
        <w:t>a 4.19.</w:t>
      </w:r>
      <w:r>
        <w:rPr>
          <w:i/>
          <w:sz w:val="22"/>
          <w:szCs w:val="22"/>
          <w:lang w:val="cs-CZ"/>
        </w:rPr>
        <w:t>4</w:t>
      </w:r>
      <w:r w:rsidRPr="00375A49">
        <w:rPr>
          <w:i/>
          <w:sz w:val="22"/>
          <w:szCs w:val="22"/>
          <w:lang w:val="cs-CZ"/>
        </w:rPr>
        <w:t xml:space="preserve"> z přílohy.</w:t>
      </w:r>
      <w:r>
        <w:rPr>
          <w:i/>
          <w:sz w:val="22"/>
          <w:szCs w:val="22"/>
          <w:lang w:val="cs-CZ"/>
        </w:rPr>
        <w:t xml:space="preserve"> </w:t>
      </w:r>
      <w:r w:rsidRPr="00B84265">
        <w:rPr>
          <w:i/>
          <w:sz w:val="22"/>
          <w:szCs w:val="22"/>
          <w:lang w:val="cs-CZ"/>
        </w:rPr>
        <w:t>Údaje v</w:t>
      </w:r>
      <w:r>
        <w:rPr>
          <w:i/>
          <w:sz w:val="22"/>
          <w:szCs w:val="22"/>
          <w:lang w:val="cs-CZ"/>
        </w:rPr>
        <w:t xml:space="preserve"> tabulkách </w:t>
      </w:r>
      <w:r w:rsidRPr="00B84265">
        <w:rPr>
          <w:i/>
          <w:sz w:val="22"/>
          <w:szCs w:val="22"/>
          <w:lang w:val="cs-CZ"/>
        </w:rPr>
        <w:t>stručně okomentuje</w:t>
      </w:r>
      <w:r>
        <w:rPr>
          <w:i/>
          <w:sz w:val="22"/>
          <w:szCs w:val="22"/>
          <w:lang w:val="cs-CZ"/>
        </w:rPr>
        <w:t>.</w:t>
      </w:r>
    </w:p>
    <w:p w:rsidR="00765FF6" w:rsidRPr="00375A49" w:rsidRDefault="00765FF6" w:rsidP="00765FF6">
      <w:pPr>
        <w:widowControl w:val="0"/>
        <w:autoSpaceDE w:val="0"/>
        <w:autoSpaceDN w:val="0"/>
        <w:adjustRightInd w:val="0"/>
        <w:spacing w:line="240" w:lineRule="atLeast"/>
        <w:contextualSpacing/>
        <w:jc w:val="both"/>
        <w:rPr>
          <w:rFonts w:cstheme="minorHAnsi"/>
          <w:lang w:val="cs-CZ"/>
        </w:rPr>
      </w:pPr>
    </w:p>
    <w:p w:rsidR="00765FF6" w:rsidRPr="00375A49" w:rsidRDefault="00765FF6" w:rsidP="00765FF6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Dále vysoká škola </w:t>
      </w:r>
      <w:r>
        <w:rPr>
          <w:i/>
          <w:lang w:val="cs-CZ"/>
        </w:rPr>
        <w:t xml:space="preserve">uvede </w:t>
      </w:r>
      <w:r w:rsidRPr="00375A49">
        <w:rPr>
          <w:i/>
          <w:lang w:val="cs-CZ"/>
        </w:rPr>
        <w:t xml:space="preserve">seznam </w:t>
      </w:r>
      <w:r>
        <w:rPr>
          <w:i/>
          <w:lang w:val="cs-CZ"/>
        </w:rPr>
        <w:t>nejvýše</w:t>
      </w:r>
      <w:r w:rsidRPr="00375A49">
        <w:rPr>
          <w:i/>
          <w:lang w:val="cs-CZ"/>
        </w:rPr>
        <w:t xml:space="preserve"> 5 nej</w:t>
      </w:r>
      <w:r>
        <w:rPr>
          <w:i/>
          <w:lang w:val="cs-CZ"/>
        </w:rPr>
        <w:t>významn</w:t>
      </w:r>
      <w:r w:rsidRPr="00375A49">
        <w:rPr>
          <w:i/>
          <w:lang w:val="cs-CZ"/>
        </w:rPr>
        <w:t>ějších projektů z výše požadovaného soupisu zahraničních prestižních individuálních projektů (ERC</w:t>
      </w:r>
      <w:r>
        <w:rPr>
          <w:rStyle w:val="Znakapoznpodarou"/>
          <w:i/>
          <w:lang w:val="cs-CZ"/>
        </w:rPr>
        <w:footnoteReference w:id="7"/>
      </w:r>
      <w:r w:rsidRPr="00375A49">
        <w:rPr>
          <w:i/>
          <w:lang w:val="cs-CZ"/>
        </w:rPr>
        <w:t>, MSCA</w:t>
      </w:r>
      <w:r>
        <w:rPr>
          <w:rStyle w:val="Znakapoznpodarou"/>
          <w:i/>
          <w:lang w:val="cs-CZ"/>
        </w:rPr>
        <w:footnoteReference w:id="8"/>
      </w:r>
      <w:r w:rsidRPr="00375A49">
        <w:rPr>
          <w:i/>
          <w:lang w:val="cs-CZ"/>
        </w:rPr>
        <w:t>, HHMI,</w:t>
      </w:r>
      <w:r w:rsidRPr="00375A49">
        <w:rPr>
          <w:i/>
          <w:vertAlign w:val="superscript"/>
          <w:lang w:val="cs-CZ"/>
        </w:rPr>
        <w:footnoteReference w:id="9"/>
      </w:r>
      <w:r w:rsidRPr="00375A49">
        <w:rPr>
          <w:i/>
          <w:lang w:val="cs-CZ"/>
        </w:rPr>
        <w:t xml:space="preserve"> HFSP</w:t>
      </w:r>
      <w:r w:rsidRPr="00375A49">
        <w:rPr>
          <w:i/>
          <w:vertAlign w:val="superscript"/>
          <w:lang w:val="cs-CZ"/>
        </w:rPr>
        <w:footnoteReference w:id="10"/>
      </w:r>
      <w:r>
        <w:rPr>
          <w:i/>
          <w:lang w:val="cs-CZ"/>
        </w:rPr>
        <w:t>, NSF</w:t>
      </w:r>
      <w:r>
        <w:rPr>
          <w:rStyle w:val="Znakapoznpodarou"/>
          <w:i/>
          <w:lang w:val="cs-CZ"/>
        </w:rPr>
        <w:footnoteReference w:id="11"/>
      </w:r>
      <w:r w:rsidRPr="00375A49">
        <w:rPr>
          <w:i/>
          <w:lang w:val="cs-CZ"/>
        </w:rPr>
        <w:t xml:space="preserve"> atd.) s uvedením základních informací (dle zvážení vysoké školy a bez ohledu na poskytovatele: název, odborné zaměření, agentura, objem finančních prostředků, ostatní účastníci projektu, případně další vhodné informace).</w:t>
      </w:r>
    </w:p>
    <w:p w:rsidR="000F31B0" w:rsidRPr="00375A49" w:rsidRDefault="000F31B0" w:rsidP="000F31B0">
      <w:pPr>
        <w:rPr>
          <w:i/>
          <w:lang w:val="cs-CZ"/>
        </w:rPr>
      </w:pPr>
    </w:p>
    <w:p w:rsidR="000F31B0" w:rsidRPr="00427A51" w:rsidRDefault="000F31B0" w:rsidP="000F31B0">
      <w:pPr>
        <w:jc w:val="both"/>
        <w:rPr>
          <w:lang w:val="cs-CZ"/>
        </w:rPr>
      </w:pPr>
      <w:r w:rsidRPr="00375A49">
        <w:rPr>
          <w:b/>
          <w:lang w:val="cs-CZ"/>
        </w:rPr>
        <w:t xml:space="preserve">4.20 Podpora získávání zahraničních výzkumných projektů </w:t>
      </w:r>
      <w:r w:rsidR="00427A51" w:rsidRPr="00427A51">
        <w:rPr>
          <w:lang w:val="cs-CZ"/>
        </w:rPr>
        <w:t>(vč. strategie k získávání prestižních zahraničních finančních zdrojů pro VaVaI)</w:t>
      </w:r>
    </w:p>
    <w:p w:rsidR="000F31B0" w:rsidRPr="00375A49" w:rsidRDefault="000F31B0" w:rsidP="000F31B0">
      <w:pPr>
        <w:jc w:val="both"/>
        <w:rPr>
          <w:lang w:val="cs-CZ"/>
        </w:rPr>
      </w:pPr>
      <w:r w:rsidRPr="00375A49">
        <w:rPr>
          <w:i/>
          <w:lang w:val="cs-CZ"/>
        </w:rPr>
        <w:t xml:space="preserve">Vysoká škola stručně popíše strategii, nástroje a </w:t>
      </w:r>
      <w:r w:rsidR="00182D59">
        <w:rPr>
          <w:i/>
          <w:lang w:val="cs-CZ"/>
        </w:rPr>
        <w:t xml:space="preserve">zavedený systém </w:t>
      </w:r>
      <w:r w:rsidRPr="00375A49">
        <w:rPr>
          <w:i/>
          <w:lang w:val="cs-CZ"/>
        </w:rPr>
        <w:t>podpor</w:t>
      </w:r>
      <w:r w:rsidR="00182D59">
        <w:rPr>
          <w:i/>
          <w:lang w:val="cs-CZ"/>
        </w:rPr>
        <w:t>y</w:t>
      </w:r>
      <w:r w:rsidRPr="00375A49">
        <w:rPr>
          <w:i/>
          <w:lang w:val="cs-CZ"/>
        </w:rPr>
        <w:t xml:space="preserve"> získávání zahraničních výzkumných projektů, např. zajištění podpůrné administrativy,</w:t>
      </w:r>
      <w:r w:rsidR="00182D59">
        <w:rPr>
          <w:i/>
          <w:lang w:val="cs-CZ"/>
        </w:rPr>
        <w:t xml:space="preserve"> projektové poradenství,</w:t>
      </w:r>
      <w:r w:rsidRPr="00375A49">
        <w:rPr>
          <w:i/>
          <w:lang w:val="cs-CZ"/>
        </w:rPr>
        <w:t xml:space="preserve"> řízení informací o </w:t>
      </w:r>
      <w:r w:rsidR="00A61AD9">
        <w:rPr>
          <w:i/>
          <w:lang w:val="cs-CZ"/>
        </w:rPr>
        <w:t>VaVaI</w:t>
      </w:r>
      <w:r w:rsidRPr="00375A49">
        <w:rPr>
          <w:i/>
          <w:lang w:val="cs-CZ"/>
        </w:rPr>
        <w:t>, organizaci pro</w:t>
      </w:r>
      <w:r w:rsidR="000962C6">
        <w:rPr>
          <w:i/>
          <w:lang w:val="cs-CZ"/>
        </w:rPr>
        <w:t>jektového managementu, existenci</w:t>
      </w:r>
      <w:r w:rsidRPr="00375A49">
        <w:rPr>
          <w:i/>
          <w:lang w:val="cs-CZ"/>
        </w:rPr>
        <w:t xml:space="preserve"> podpůrných finančních zdrojů (interních dotačních titulů) pomáhajících přípravě kvalitních přihlášek atd.</w:t>
      </w:r>
    </w:p>
    <w:p w:rsidR="000F31B0" w:rsidRPr="00375A49" w:rsidRDefault="000F31B0" w:rsidP="000F31B0">
      <w:pPr>
        <w:jc w:val="both"/>
        <w:rPr>
          <w:lang w:val="cs-CZ"/>
        </w:rPr>
      </w:pPr>
    </w:p>
    <w:p w:rsidR="00503ABF" w:rsidRDefault="00503ABF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503ABF" w:rsidRDefault="00503ABF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503ABF" w:rsidRDefault="00503ABF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FORMATIVNÍ HODNOCENÍ </w:t>
      </w:r>
      <w:r w:rsidR="00A61AD9">
        <w:rPr>
          <w:rFonts w:cstheme="minorHAnsi"/>
          <w:b/>
          <w:lang w:val="cs-CZ"/>
        </w:rPr>
        <w:t>VAVAI</w:t>
      </w:r>
      <w:r w:rsidRPr="00375A49">
        <w:rPr>
          <w:rFonts w:cstheme="minorHAnsi"/>
          <w:b/>
          <w:lang w:val="cs-CZ"/>
        </w:rPr>
        <w:t xml:space="preserve"> A START-UP STRATEGIE </w:t>
      </w:r>
      <w:r w:rsidR="00A61AD9">
        <w:rPr>
          <w:rFonts w:cstheme="minorHAnsi"/>
          <w:b/>
          <w:lang w:val="cs-CZ"/>
        </w:rPr>
        <w:t>(S APLIKAČNÍM POTENCIÁLEM)</w:t>
      </w:r>
    </w:p>
    <w:p w:rsidR="000F31B0" w:rsidRPr="00375A49" w:rsidRDefault="000F31B0" w:rsidP="000F31B0">
      <w:pPr>
        <w:ind w:left="360"/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4.21 Interní a externí systém hodnocení výzkumných jednotek </w:t>
      </w:r>
      <w:r w:rsidRPr="00427A51">
        <w:rPr>
          <w:lang w:val="cs-CZ"/>
        </w:rPr>
        <w:t>(skupin, týmů, kateder, ústavů)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Vysoká škola stručně popíše systém vnitřního a vnějšího hodnocení výzkumných jednotek, respektive nastavení systému interního a externího monitoringu / hodnocení výzkumných týmů / skupin / kateder /ústavů (pokud takový systém existuje).</w:t>
      </w:r>
    </w:p>
    <w:p w:rsidR="000F31B0" w:rsidRPr="00375A49" w:rsidRDefault="000F31B0" w:rsidP="000F31B0">
      <w:pPr>
        <w:jc w:val="both"/>
        <w:rPr>
          <w:i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4.22 Podmínky vzniku nových týmů a zavádění nových výzkumných témat </w:t>
      </w:r>
      <w:r w:rsidRPr="00427A51">
        <w:rPr>
          <w:lang w:val="cs-CZ"/>
        </w:rPr>
        <w:t>(tzv. start-up strateg</w:t>
      </w:r>
      <w:r w:rsidR="006C6E4F">
        <w:rPr>
          <w:lang w:val="cs-CZ"/>
        </w:rPr>
        <w:t>y</w:t>
      </w:r>
      <w:r w:rsidRPr="00427A51">
        <w:rPr>
          <w:lang w:val="cs-CZ"/>
        </w:rPr>
        <w:t>)</w:t>
      </w: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lang w:val="cs-CZ"/>
        </w:rPr>
      </w:pPr>
      <w:r w:rsidRPr="00375A49">
        <w:rPr>
          <w:i/>
          <w:lang w:val="cs-CZ"/>
        </w:rPr>
        <w:t>Vysoká škola popíše strategii</w:t>
      </w:r>
      <w:r w:rsidR="00182D59">
        <w:rPr>
          <w:i/>
          <w:lang w:val="cs-CZ"/>
        </w:rPr>
        <w:t>/možnosti</w:t>
      </w:r>
      <w:r w:rsidRPr="00375A49">
        <w:rPr>
          <w:i/>
          <w:lang w:val="cs-CZ"/>
        </w:rPr>
        <w:t xml:space="preserve"> zakládání nových výzkumných týmů</w:t>
      </w:r>
      <w:r w:rsidR="00182D59">
        <w:rPr>
          <w:i/>
          <w:lang w:val="cs-CZ"/>
        </w:rPr>
        <w:t xml:space="preserve"> (včetně mezinárodních)</w:t>
      </w:r>
      <w:r w:rsidRPr="00375A49">
        <w:rPr>
          <w:i/>
          <w:lang w:val="cs-CZ"/>
        </w:rPr>
        <w:t>, jejich podporu v rámci působení na vysoké škole (sdílení přístrojového, laboratorního a informačního vybavení pro </w:t>
      </w:r>
      <w:r w:rsidR="00A61AD9">
        <w:rPr>
          <w:lang w:val="cs-CZ"/>
        </w:rPr>
        <w:t>VaVaI</w:t>
      </w:r>
      <w:r w:rsidRPr="00375A49">
        <w:rPr>
          <w:lang w:val="cs-CZ"/>
        </w:rPr>
        <w:t>)</w:t>
      </w:r>
      <w:r w:rsidRPr="00375A49">
        <w:rPr>
          <w:i/>
          <w:lang w:val="cs-CZ"/>
        </w:rPr>
        <w:t> a koncepci zajištění podmínek pro vznik nových kvalitních výzkumných směrů / témat především s aplikačním potenciálem.</w:t>
      </w:r>
    </w:p>
    <w:p w:rsidR="00633D4D" w:rsidRDefault="00633D4D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4.23 Externí poradní orgány pro </w:t>
      </w:r>
      <w:r w:rsidR="00A61AD9">
        <w:rPr>
          <w:b/>
          <w:lang w:val="cs-CZ"/>
        </w:rPr>
        <w:t>VaVaI</w:t>
      </w:r>
      <w:r w:rsidR="00182D59">
        <w:rPr>
          <w:b/>
          <w:lang w:val="cs-CZ"/>
        </w:rPr>
        <w:t xml:space="preserve">, nezávislá zpětná vazba pro </w:t>
      </w:r>
      <w:r w:rsidR="00A61AD9">
        <w:rPr>
          <w:b/>
          <w:lang w:val="cs-CZ"/>
        </w:rPr>
        <w:t>VaVaI</w:t>
      </w:r>
      <w:r w:rsidRPr="00375A49">
        <w:rPr>
          <w:b/>
          <w:lang w:val="cs-CZ"/>
        </w:rPr>
        <w:t xml:space="preserve"> </w:t>
      </w:r>
    </w:p>
    <w:p w:rsidR="004302E7" w:rsidRPr="00023782" w:rsidRDefault="000F31B0" w:rsidP="00023782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stručně </w:t>
      </w:r>
      <w:r w:rsidR="00182D59">
        <w:rPr>
          <w:i/>
          <w:lang w:val="cs-CZ"/>
        </w:rPr>
        <w:t>popíše</w:t>
      </w:r>
      <w:r w:rsidR="00182D59" w:rsidRPr="00375A49">
        <w:rPr>
          <w:i/>
          <w:lang w:val="cs-CZ"/>
        </w:rPr>
        <w:t xml:space="preserve"> </w:t>
      </w:r>
      <w:r w:rsidRPr="00375A49">
        <w:rPr>
          <w:i/>
          <w:lang w:val="cs-CZ"/>
        </w:rPr>
        <w:t xml:space="preserve">svůj externí poradní orgán pro </w:t>
      </w:r>
      <w:r w:rsidR="00A61AD9">
        <w:rPr>
          <w:i/>
          <w:lang w:val="cs-CZ"/>
        </w:rPr>
        <w:t>VaVaI</w:t>
      </w:r>
      <w:r w:rsidRPr="00375A49">
        <w:rPr>
          <w:i/>
          <w:lang w:val="cs-CZ"/>
        </w:rPr>
        <w:t>, např. mezinárodní vědeckou radu (pokud existuje).</w:t>
      </w:r>
    </w:p>
    <w:p w:rsidR="00633D4D" w:rsidRDefault="00633D4D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0F31B0" w:rsidRPr="00375A49" w:rsidRDefault="00A61AD9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>
        <w:rPr>
          <w:rFonts w:cstheme="minorHAnsi"/>
          <w:b/>
          <w:lang w:val="cs-CZ"/>
        </w:rPr>
        <w:t>VÝZKUMNÁ INFRASTRUKTURA</w:t>
      </w:r>
    </w:p>
    <w:p w:rsidR="000F31B0" w:rsidRPr="00375A49" w:rsidRDefault="000F31B0" w:rsidP="000F31B0">
      <w:pPr>
        <w:ind w:left="360"/>
        <w:jc w:val="both"/>
        <w:rPr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4.24 Systém pořizování a obnovy přístrojů a vybavení pro </w:t>
      </w:r>
      <w:r w:rsidR="00A61AD9">
        <w:rPr>
          <w:b/>
          <w:lang w:val="cs-CZ"/>
        </w:rPr>
        <w:t>VaVaI</w:t>
      </w:r>
      <w:r w:rsidRPr="00375A49">
        <w:rPr>
          <w:b/>
          <w:lang w:val="cs-CZ"/>
        </w:rPr>
        <w:t xml:space="preserve"> </w:t>
      </w:r>
    </w:p>
    <w:p w:rsidR="000F31B0" w:rsidRPr="001D5E56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popíše systém pořizování / optimalizace </w:t>
      </w:r>
      <w:r w:rsidR="00182D59">
        <w:rPr>
          <w:i/>
          <w:lang w:val="cs-CZ"/>
        </w:rPr>
        <w:t>pořizování</w:t>
      </w:r>
      <w:r w:rsidR="00182D59" w:rsidRPr="00375A49">
        <w:rPr>
          <w:i/>
          <w:lang w:val="cs-CZ"/>
        </w:rPr>
        <w:t xml:space="preserve"> </w:t>
      </w:r>
      <w:r w:rsidRPr="00375A49">
        <w:rPr>
          <w:i/>
          <w:lang w:val="cs-CZ"/>
        </w:rPr>
        <w:t xml:space="preserve">nákladných přístrojů a zařízení a obnovu </w:t>
      </w:r>
      <w:r w:rsidR="00182D59">
        <w:rPr>
          <w:i/>
          <w:lang w:val="cs-CZ"/>
        </w:rPr>
        <w:t xml:space="preserve">dosluhujících </w:t>
      </w:r>
      <w:r w:rsidRPr="00375A49">
        <w:rPr>
          <w:i/>
          <w:lang w:val="cs-CZ"/>
        </w:rPr>
        <w:t>nákladných přístrojů. Stručně okomentuje údaje z přílohy (tab. 4.24.1).</w:t>
      </w:r>
    </w:p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4.25 Systém sdílení přístrojů a vybavení pro </w:t>
      </w:r>
      <w:r w:rsidR="00A61AD9">
        <w:rPr>
          <w:b/>
          <w:lang w:val="cs-CZ"/>
        </w:rPr>
        <w:t>VaVaI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stručně představí interní organizaci výzkumné infrastruktury (technologie, nákladné přístroje nebo přístrojové celky). Popíše systém sdílení (vč. externích výzkumných subjektů) nákladných přístrojů a přístrojových celků, tzv. „core facilities“ (pokud </w:t>
      </w:r>
      <w:r w:rsidR="00182D59">
        <w:rPr>
          <w:i/>
          <w:lang w:val="cs-CZ"/>
        </w:rPr>
        <w:t xml:space="preserve">takový systém </w:t>
      </w:r>
      <w:r w:rsidRPr="00375A49">
        <w:rPr>
          <w:i/>
          <w:lang w:val="cs-CZ"/>
        </w:rPr>
        <w:t>existuje) a sdílení přístrojů a</w:t>
      </w:r>
      <w:r w:rsidR="00C60731">
        <w:rPr>
          <w:i/>
          <w:lang w:val="cs-CZ"/>
        </w:rPr>
        <w:t> </w:t>
      </w:r>
      <w:r w:rsidRPr="00375A49">
        <w:rPr>
          <w:i/>
          <w:lang w:val="cs-CZ"/>
        </w:rPr>
        <w:t xml:space="preserve">přístrojových celků. </w:t>
      </w:r>
    </w:p>
    <w:p w:rsidR="000F31B0" w:rsidRPr="00375A49" w:rsidRDefault="000F31B0" w:rsidP="000F31B0">
      <w:pPr>
        <w:ind w:left="360"/>
        <w:jc w:val="both"/>
        <w:rPr>
          <w:lang w:val="cs-CZ"/>
        </w:rPr>
      </w:pPr>
      <w:r w:rsidRPr="00375A49">
        <w:rPr>
          <w:lang w:val="cs-CZ"/>
        </w:rPr>
        <w:tab/>
      </w:r>
    </w:p>
    <w:p w:rsidR="000F31B0" w:rsidRPr="001D5E56" w:rsidRDefault="000F31B0" w:rsidP="000F31B0">
      <w:pPr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DOBRÁ PRAXE VE V</w:t>
      </w:r>
      <w:r w:rsidR="00A61AD9">
        <w:rPr>
          <w:rFonts w:cstheme="minorHAnsi"/>
          <w:b/>
          <w:lang w:val="cs-CZ"/>
        </w:rPr>
        <w:t>AVAI</w:t>
      </w:r>
    </w:p>
    <w:p w:rsidR="000F31B0" w:rsidRPr="00375A49" w:rsidRDefault="000F31B0" w:rsidP="000F31B0">
      <w:pPr>
        <w:ind w:left="360"/>
        <w:jc w:val="both"/>
        <w:rPr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4.26 Vnitřní pravidla a opatřen</w:t>
      </w:r>
      <w:r w:rsidR="002E188A">
        <w:rPr>
          <w:b/>
          <w:lang w:val="cs-CZ"/>
        </w:rPr>
        <w:t xml:space="preserve">í pro udržování dobré praxe ve </w:t>
      </w:r>
      <w:r w:rsidR="00A61AD9">
        <w:rPr>
          <w:b/>
          <w:lang w:val="cs-CZ"/>
        </w:rPr>
        <w:t>VaVaI</w:t>
      </w:r>
      <w:r w:rsidR="00FC2AE5" w:rsidRPr="00FC2AE5">
        <w:t xml:space="preserve"> (</w:t>
      </w:r>
      <w:r w:rsidR="00FC2AE5" w:rsidRPr="00FC2AE5">
        <w:rPr>
          <w:lang w:val="cs-CZ"/>
        </w:rPr>
        <w:t>např. Code of Conduct for Research Integrity, Ethical Issues)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stručně popíše, jakým způsobem dbá o dodržování etických aspektů </w:t>
      </w:r>
      <w:r w:rsidR="00A61AD9">
        <w:rPr>
          <w:i/>
          <w:lang w:val="cs-CZ"/>
        </w:rPr>
        <w:t>VaVaI</w:t>
      </w:r>
      <w:r w:rsidRPr="00375A49">
        <w:rPr>
          <w:i/>
          <w:lang w:val="cs-CZ"/>
        </w:rPr>
        <w:t xml:space="preserve">. Uvede stručný popis systému (lze uvést odkazy na statut a jednací řád etické komise/etických komisí, pokud existují) </w:t>
      </w:r>
      <w:r w:rsidR="006C2881">
        <w:rPr>
          <w:i/>
          <w:lang w:val="cs-CZ"/>
        </w:rPr>
        <w:t xml:space="preserve">např. </w:t>
      </w:r>
      <w:r w:rsidRPr="00375A49">
        <w:rPr>
          <w:i/>
          <w:lang w:val="cs-CZ"/>
        </w:rPr>
        <w:t>ve vazbě na dokument The European Code of Conduct for Research Integrity.</w:t>
      </w:r>
    </w:p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4.27 Strategie otevřeného přístupu k informac</w:t>
      </w:r>
      <w:r w:rsidR="00A61AD9">
        <w:rPr>
          <w:b/>
          <w:lang w:val="cs-CZ"/>
        </w:rPr>
        <w:t>ím z VaVaI</w:t>
      </w:r>
      <w:r w:rsidRPr="00375A49">
        <w:rPr>
          <w:b/>
          <w:lang w:val="cs-CZ"/>
        </w:rPr>
        <w:t xml:space="preserve"> </w:t>
      </w:r>
      <w:r w:rsidR="00FC2AE5" w:rsidRPr="00FC2AE5">
        <w:rPr>
          <w:lang w:val="cs-CZ"/>
        </w:rPr>
        <w:t>(Open Access)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stručně popíše své institucionální strategie </w:t>
      </w:r>
      <w:r w:rsidR="006C2881">
        <w:rPr>
          <w:i/>
          <w:lang w:val="cs-CZ"/>
        </w:rPr>
        <w:t xml:space="preserve">pro </w:t>
      </w:r>
      <w:r w:rsidRPr="00375A49">
        <w:rPr>
          <w:i/>
          <w:lang w:val="cs-CZ"/>
        </w:rPr>
        <w:t>Open Science 2.0/Open Access (pokud existují), včetně např. provozu institucionálního repozitáře</w:t>
      </w:r>
      <w:r w:rsidR="006C2881">
        <w:rPr>
          <w:i/>
          <w:lang w:val="cs-CZ"/>
        </w:rPr>
        <w:t xml:space="preserve"> nebo jiných nástrojů</w:t>
      </w:r>
      <w:r w:rsidRPr="00375A49">
        <w:rPr>
          <w:i/>
          <w:lang w:val="cs-CZ"/>
        </w:rPr>
        <w:t>.</w:t>
      </w:r>
    </w:p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4.28 Strategie správy výzkumných dat </w:t>
      </w:r>
      <w:r w:rsidRPr="00FC2AE5">
        <w:rPr>
          <w:lang w:val="cs-CZ"/>
        </w:rPr>
        <w:t>(Data Management)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Vysoká škola popíše koncepci správy výzkumných dat: např. okomentuje způsob shromažďování dat, zpřístupnění a sdílení dat, ochranu duševního vlastnictví, etiku a ochranu osobních údajů, archivaci, zálohování, ošetření rizik, odpovědnost za datové soubory, zajištění kvality apod.</w:t>
      </w:r>
    </w:p>
    <w:p w:rsidR="000F31B0" w:rsidRPr="00375A49" w:rsidRDefault="000F31B0" w:rsidP="000F31B0">
      <w:pPr>
        <w:jc w:val="both"/>
        <w:rPr>
          <w:i/>
          <w:lang w:val="cs-CZ"/>
        </w:rPr>
      </w:pPr>
    </w:p>
    <w:p w:rsidR="004302E7" w:rsidRDefault="004302E7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4302E7" w:rsidRDefault="004302E7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0962C6" w:rsidRDefault="000962C6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9C5AAC" w:rsidRDefault="009C5AAC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PŘÍLOHY (TABULKOVÁ ČÁST)</w:t>
      </w:r>
    </w:p>
    <w:p w:rsidR="000F31B0" w:rsidRPr="00375A49" w:rsidRDefault="000F31B0" w:rsidP="000F31B0">
      <w:pPr>
        <w:jc w:val="both"/>
        <w:rPr>
          <w:b/>
          <w:sz w:val="16"/>
          <w:szCs w:val="16"/>
          <w:lang w:val="cs-CZ"/>
        </w:rPr>
      </w:pP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Pro zjednodušení textu je v uvedených tabulkách pro označení osob používán mužský rod. Zpracovatel má ale vždy na mysli muže i ženy. V případech, kde jsou explicitně požadovány oddělené informace o ženách a mužích, jsou tyto údaje uvedeny.</w:t>
      </w:r>
    </w:p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contextualSpacing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4.1 Organizace a řízení </w:t>
      </w:r>
      <w:r w:rsidR="0079655F">
        <w:rPr>
          <w:rFonts w:cstheme="minorHAnsi"/>
          <w:b/>
          <w:lang w:val="cs-CZ"/>
        </w:rPr>
        <w:t>VaVaI</w:t>
      </w:r>
      <w:r w:rsidRPr="00375A49">
        <w:rPr>
          <w:rFonts w:cstheme="minorHAnsi"/>
          <w:b/>
          <w:lang w:val="cs-CZ"/>
        </w:rPr>
        <w:t xml:space="preserve"> </w:t>
      </w:r>
    </w:p>
    <w:p w:rsidR="000F31B0" w:rsidRPr="00375A49" w:rsidRDefault="000F31B0" w:rsidP="000F31B0">
      <w:pPr>
        <w:contextualSpacing/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contextualSpacing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4.1.1 Struktura pracovníků, kteří se podílejí na </w:t>
      </w:r>
      <w:r w:rsidR="0079655F">
        <w:rPr>
          <w:rFonts w:cstheme="minorHAnsi"/>
          <w:lang w:val="cs-CZ"/>
        </w:rPr>
        <w:t>VaVaI</w:t>
      </w:r>
      <w:r w:rsidR="00177D38">
        <w:rPr>
          <w:rFonts w:cstheme="minorHAnsi"/>
          <w:lang w:val="cs-CZ"/>
        </w:rPr>
        <w:t xml:space="preserve"> vysoké školy</w:t>
      </w:r>
      <w:r w:rsidRPr="00375A49">
        <w:rPr>
          <w:rFonts w:cstheme="minorHAnsi"/>
          <w:lang w:val="cs-CZ"/>
        </w:rPr>
        <w:t xml:space="preserve"> (počty fyzických zaměstnanců a pracovníků)</w:t>
      </w:r>
    </w:p>
    <w:p w:rsidR="000F31B0" w:rsidRPr="00375A49" w:rsidRDefault="000F31B0" w:rsidP="000F31B0">
      <w:pPr>
        <w:contextualSpacing/>
        <w:jc w:val="both"/>
        <w:rPr>
          <w:rFonts w:cs="Times New Roman"/>
          <w:u w:val="single"/>
          <w:lang w:val="cs-CZ"/>
        </w:rPr>
      </w:pPr>
    </w:p>
    <w:tbl>
      <w:tblPr>
        <w:tblStyle w:val="Mkatabulky"/>
        <w:tblW w:w="10773" w:type="dxa"/>
        <w:jc w:val="center"/>
        <w:shd w:val="clear" w:color="auto" w:fill="F2F2F2" w:themeFill="background1" w:themeFillShade="F2"/>
        <w:tblLook w:val="04A0"/>
      </w:tblPr>
      <w:tblGrid>
        <w:gridCol w:w="2217"/>
        <w:gridCol w:w="679"/>
        <w:gridCol w:w="679"/>
        <w:gridCol w:w="680"/>
        <w:gridCol w:w="680"/>
        <w:gridCol w:w="680"/>
        <w:gridCol w:w="879"/>
        <w:gridCol w:w="680"/>
        <w:gridCol w:w="680"/>
        <w:gridCol w:w="680"/>
        <w:gridCol w:w="680"/>
        <w:gridCol w:w="680"/>
        <w:gridCol w:w="879"/>
      </w:tblGrid>
      <w:tr w:rsidR="000F31B0" w:rsidRPr="00375A49" w:rsidTr="00DC1359">
        <w:trPr>
          <w:jc w:val="center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Akademická/odborná pozice/rok</w:t>
            </w:r>
          </w:p>
        </w:tc>
        <w:tc>
          <w:tcPr>
            <w:tcW w:w="4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Z toho ženy</w:t>
            </w:r>
          </w:p>
        </w:tc>
      </w:tr>
      <w:tr w:rsidR="00A7646E" w:rsidRPr="00375A49" w:rsidTr="00DC135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Profesoři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Docenti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Odborní asistenti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Asistenti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Vědečtí, výzkumní a vývojoví pracovníci podílející se na pedagogické činnosti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Postdoktorandi („postdok“)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Ph.D. studenti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Ostatní vědečtí, výzkumní a vývojoví pracovníci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Vědečtí pracovníci nespadající do ostatních kategorií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F31B0" w:rsidRPr="00375A49" w:rsidRDefault="000F31B0" w:rsidP="000F31B0">
      <w:pPr>
        <w:ind w:right="-517"/>
        <w:contextualSpacing/>
        <w:jc w:val="both"/>
        <w:rPr>
          <w:rFonts w:cs="Times New Roman"/>
          <w:sz w:val="20"/>
          <w:szCs w:val="20"/>
          <w:lang w:val="cs-CZ"/>
        </w:rPr>
      </w:pPr>
    </w:p>
    <w:p w:rsidR="00633D4D" w:rsidRPr="00633D4D" w:rsidRDefault="00633D4D" w:rsidP="00633D4D">
      <w:pPr>
        <w:ind w:right="-517"/>
        <w:contextualSpacing/>
        <w:jc w:val="both"/>
        <w:rPr>
          <w:rFonts w:cs="Times New Roman"/>
          <w:sz w:val="20"/>
          <w:szCs w:val="20"/>
          <w:lang w:val="cs-CZ"/>
        </w:rPr>
      </w:pPr>
      <w:r w:rsidRPr="00633D4D">
        <w:rPr>
          <w:rFonts w:cs="Times New Roman"/>
          <w:sz w:val="20"/>
          <w:szCs w:val="20"/>
          <w:lang w:val="cs-CZ"/>
        </w:rPr>
        <w:t xml:space="preserve">Pozn.: Uvede se celkový počet zaměstnanců/pracovníků </w:t>
      </w:r>
      <w:r w:rsidR="00B137E5">
        <w:rPr>
          <w:rFonts w:cs="Times New Roman"/>
          <w:sz w:val="20"/>
          <w:szCs w:val="20"/>
          <w:lang w:val="cs-CZ"/>
        </w:rPr>
        <w:t xml:space="preserve">k 31. 12. daného kalendářního roku </w:t>
      </w:r>
      <w:r w:rsidRPr="00633D4D">
        <w:rPr>
          <w:rFonts w:cs="Times New Roman"/>
          <w:sz w:val="20"/>
          <w:szCs w:val="20"/>
          <w:lang w:val="cs-CZ"/>
        </w:rPr>
        <w:t>bez ohledu na výši úvazku, ale pouze v pracovním poměru (bez zahrnutí osob pracujících na DPP a DPČ). Nezahrnují se jiné typy smluvních vztahů dle občanského zákoníku, které mají charakter nákupu služeb.</w:t>
      </w:r>
    </w:p>
    <w:p w:rsidR="00633D4D" w:rsidRPr="00633D4D" w:rsidRDefault="00633D4D" w:rsidP="00633D4D">
      <w:pPr>
        <w:ind w:right="-517"/>
        <w:contextualSpacing/>
        <w:jc w:val="both"/>
        <w:rPr>
          <w:rFonts w:cs="Times New Roman"/>
          <w:sz w:val="20"/>
          <w:szCs w:val="20"/>
          <w:lang w:val="cs-CZ"/>
        </w:rPr>
      </w:pPr>
    </w:p>
    <w:p w:rsidR="000F31B0" w:rsidRPr="00375A49" w:rsidRDefault="000F31B0" w:rsidP="000F31B0">
      <w:pPr>
        <w:ind w:right="-517"/>
        <w:contextualSpacing/>
        <w:jc w:val="both"/>
        <w:rPr>
          <w:rFonts w:cs="Times New Roman"/>
          <w:sz w:val="20"/>
          <w:szCs w:val="20"/>
          <w:lang w:val="cs-CZ"/>
        </w:rPr>
      </w:pPr>
      <w:r w:rsidRPr="00375A49">
        <w:rPr>
          <w:rFonts w:cs="Times New Roman"/>
          <w:sz w:val="20"/>
          <w:szCs w:val="20"/>
          <w:lang w:val="cs-CZ"/>
        </w:rPr>
        <w:t>Pozn.: „Postdoktorandem</w:t>
      </w:r>
      <w:r w:rsidR="000962C6">
        <w:rPr>
          <w:rFonts w:cs="Times New Roman"/>
          <w:sz w:val="20"/>
          <w:szCs w:val="20"/>
          <w:lang w:val="cs-CZ"/>
        </w:rPr>
        <w:t>“ se rozumí pracovník</w:t>
      </w:r>
      <w:r w:rsidRPr="00375A49">
        <w:rPr>
          <w:rFonts w:cs="Times New Roman"/>
          <w:sz w:val="20"/>
          <w:szCs w:val="20"/>
          <w:lang w:val="cs-CZ"/>
        </w:rPr>
        <w:t xml:space="preserve"> dané výzkumné instituce nebo vysoké školy do pěti let po obhájení akademického titulu </w:t>
      </w:r>
      <w:r w:rsidR="000962C6">
        <w:rPr>
          <w:rFonts w:cs="Times New Roman"/>
          <w:sz w:val="20"/>
          <w:szCs w:val="20"/>
          <w:lang w:val="cs-CZ"/>
        </w:rPr>
        <w:t>Ph.D.</w:t>
      </w:r>
      <w:r w:rsidRPr="00375A49">
        <w:rPr>
          <w:rFonts w:cs="Times New Roman"/>
          <w:sz w:val="20"/>
          <w:szCs w:val="20"/>
          <w:lang w:val="cs-CZ"/>
        </w:rPr>
        <w:t xml:space="preserve"> nebo jeho ekvivalentu. Pracuje jako součást vědeckého týmu dané instituce obvykle pod vedením zkušených vědeckých pracovníků na konkrétním úkolu a publikuje své výsledky samostatně i v rámci tvůrčího týmu. Má s výzkumnou institucí uzavřen pracovní poměr na dobu určitou (v trvání 1-3 let) na jedno, maximál</w:t>
      </w:r>
      <w:r w:rsidR="000962C6">
        <w:rPr>
          <w:rFonts w:cs="Times New Roman"/>
          <w:sz w:val="20"/>
          <w:szCs w:val="20"/>
          <w:lang w:val="cs-CZ"/>
        </w:rPr>
        <w:t>ně tři období po sobě. Jeho</w:t>
      </w:r>
      <w:r w:rsidRPr="00375A49">
        <w:rPr>
          <w:rFonts w:cs="Times New Roman"/>
          <w:sz w:val="20"/>
          <w:szCs w:val="20"/>
          <w:lang w:val="cs-CZ"/>
        </w:rPr>
        <w:t xml:space="preserve"> mzda podléhá pravidlům mzdového systému dané instituce, přičemž vedle toho může získat odměny v rámci výzkumných grantových projektů.</w:t>
      </w:r>
    </w:p>
    <w:p w:rsidR="000F31B0" w:rsidRPr="00375A49" w:rsidRDefault="000F31B0" w:rsidP="000F31B0">
      <w:pPr>
        <w:ind w:right="-517"/>
        <w:contextualSpacing/>
        <w:jc w:val="both"/>
        <w:rPr>
          <w:rFonts w:cs="Times New Roman"/>
          <w:sz w:val="20"/>
          <w:szCs w:val="20"/>
          <w:lang w:val="cs-CZ"/>
        </w:rPr>
      </w:pPr>
      <w:r w:rsidRPr="00375A49">
        <w:rPr>
          <w:rFonts w:cs="Times New Roman"/>
          <w:sz w:val="20"/>
          <w:szCs w:val="20"/>
          <w:lang w:val="cs-CZ"/>
        </w:rPr>
        <w:t>Kategorie „Ph.D. studenti“ se vykazuje jako počet studentů doktorskéh</w:t>
      </w:r>
      <w:r w:rsidR="000962C6">
        <w:rPr>
          <w:rFonts w:cs="Times New Roman"/>
          <w:sz w:val="20"/>
          <w:szCs w:val="20"/>
          <w:lang w:val="cs-CZ"/>
        </w:rPr>
        <w:t>o studia bez ohledu na to, zda dotyčný</w:t>
      </w:r>
      <w:r w:rsidRPr="00375A49">
        <w:rPr>
          <w:rFonts w:cs="Times New Roman"/>
          <w:sz w:val="20"/>
          <w:szCs w:val="20"/>
          <w:lang w:val="cs-CZ"/>
        </w:rPr>
        <w:t xml:space="preserve"> má úvazek či  nemá.</w:t>
      </w:r>
    </w:p>
    <w:p w:rsidR="000F31B0" w:rsidRPr="00375A49" w:rsidRDefault="00E92CD4" w:rsidP="000F31B0">
      <w:pPr>
        <w:ind w:right="-517"/>
        <w:contextualSpacing/>
        <w:jc w:val="both"/>
        <w:rPr>
          <w:rFonts w:cs="Times New Roman"/>
          <w:sz w:val="20"/>
          <w:szCs w:val="20"/>
          <w:lang w:val="cs-CZ"/>
        </w:rPr>
      </w:pPr>
      <w:r>
        <w:rPr>
          <w:rFonts w:cs="Times New Roman"/>
          <w:sz w:val="20"/>
          <w:szCs w:val="20"/>
          <w:lang w:val="cs-CZ"/>
        </w:rPr>
        <w:t xml:space="preserve">              </w:t>
      </w:r>
      <w:r w:rsidR="000F31B0" w:rsidRPr="00375A49">
        <w:rPr>
          <w:rFonts w:cs="Times New Roman"/>
          <w:sz w:val="20"/>
          <w:szCs w:val="20"/>
          <w:lang w:val="cs-CZ"/>
        </w:rPr>
        <w:t xml:space="preserve">Kategorie „Ostatní vědečtí, výzkumní a vývojoví pracovníci“ zahrnuje technické a odborné pracovníky, kteří se přímo nepodílejí na </w:t>
      </w:r>
      <w:r w:rsidR="00177D38">
        <w:rPr>
          <w:rFonts w:cs="Times New Roman"/>
          <w:sz w:val="20"/>
          <w:szCs w:val="20"/>
          <w:lang w:val="cs-CZ"/>
        </w:rPr>
        <w:t>VaVaI</w:t>
      </w:r>
      <w:r w:rsidR="000F31B0" w:rsidRPr="00375A49">
        <w:rPr>
          <w:rFonts w:cs="Times New Roman"/>
          <w:sz w:val="20"/>
          <w:szCs w:val="20"/>
          <w:lang w:val="cs-CZ"/>
        </w:rPr>
        <w:t>, ale jsou pro výzkumnou činnost nepostradatelní (např. obsluha research facility).</w:t>
      </w:r>
    </w:p>
    <w:p w:rsidR="000F31B0" w:rsidRPr="00375A49" w:rsidRDefault="000F31B0" w:rsidP="000F31B0">
      <w:pPr>
        <w:tabs>
          <w:tab w:val="left" w:pos="4718"/>
        </w:tabs>
        <w:ind w:right="-517"/>
        <w:contextualSpacing/>
        <w:jc w:val="both"/>
        <w:rPr>
          <w:rFonts w:cs="Times New Roman"/>
          <w:sz w:val="20"/>
          <w:szCs w:val="20"/>
          <w:lang w:val="cs-CZ"/>
        </w:rPr>
      </w:pPr>
      <w:r w:rsidRPr="00375A49">
        <w:rPr>
          <w:rFonts w:cs="Times New Roman"/>
          <w:sz w:val="20"/>
          <w:szCs w:val="20"/>
          <w:lang w:val="cs-CZ"/>
        </w:rPr>
        <w:t>Kategorie „Vědečtí pracovníci nespadající do ostatních kategorií“ zahrnuje všechny ostatní pracovníky, které nelze zařadit do žádné z uvedených kategorií (např. samostatný vědecký/výzkumný pracovník).</w:t>
      </w:r>
    </w:p>
    <w:p w:rsidR="000F31B0" w:rsidRPr="00375A49" w:rsidRDefault="000F31B0" w:rsidP="000F31B0">
      <w:pPr>
        <w:ind w:right="-517"/>
        <w:contextualSpacing/>
        <w:jc w:val="both"/>
        <w:rPr>
          <w:rFonts w:cs="Times New Roman"/>
          <w:sz w:val="20"/>
          <w:szCs w:val="20"/>
          <w:lang w:val="cs-CZ"/>
        </w:rPr>
      </w:pPr>
    </w:p>
    <w:p w:rsidR="000F31B0" w:rsidRPr="00375A49" w:rsidRDefault="000F31B0" w:rsidP="000F31B0">
      <w:pPr>
        <w:ind w:right="-517"/>
        <w:contextualSpacing/>
        <w:jc w:val="both"/>
        <w:rPr>
          <w:rFonts w:cs="Times New Roman"/>
          <w:sz w:val="20"/>
          <w:szCs w:val="20"/>
          <w:lang w:val="cs-CZ"/>
        </w:rPr>
      </w:pPr>
    </w:p>
    <w:p w:rsidR="000F31B0" w:rsidRPr="00375A49" w:rsidRDefault="00E92CD4" w:rsidP="000F31B0">
      <w:pPr>
        <w:contextualSpacing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lastRenderedPageBreak/>
        <w:t xml:space="preserve"> </w:t>
      </w:r>
    </w:p>
    <w:p w:rsidR="00F65572" w:rsidRDefault="00F65572" w:rsidP="000F31B0">
      <w:pPr>
        <w:contextualSpacing/>
        <w:jc w:val="both"/>
        <w:rPr>
          <w:rFonts w:cs="Times New Roman"/>
          <w:lang w:val="cs-CZ"/>
        </w:rPr>
      </w:pPr>
    </w:p>
    <w:p w:rsidR="00633D4D" w:rsidRDefault="00633D4D" w:rsidP="000F31B0">
      <w:pPr>
        <w:contextualSpacing/>
        <w:jc w:val="both"/>
        <w:rPr>
          <w:rFonts w:cs="Times New Roman"/>
          <w:lang w:val="cs-CZ"/>
        </w:rPr>
      </w:pPr>
    </w:p>
    <w:p w:rsidR="00633D4D" w:rsidRPr="00375A49" w:rsidRDefault="000F31B0" w:rsidP="000F31B0">
      <w:pPr>
        <w:contextualSpacing/>
        <w:jc w:val="both"/>
        <w:rPr>
          <w:rFonts w:cs="Times New Roman"/>
          <w:lang w:val="cs-CZ"/>
        </w:rPr>
      </w:pPr>
      <w:bookmarkStart w:id="54" w:name="_Hlk11334097"/>
      <w:r w:rsidRPr="00375A49">
        <w:rPr>
          <w:rFonts w:cs="Times New Roman"/>
          <w:lang w:val="cs-CZ"/>
        </w:rPr>
        <w:t xml:space="preserve">4.1.2 Struktura pracovníků, kteří se podílejí na </w:t>
      </w:r>
      <w:r w:rsidR="0079655F">
        <w:rPr>
          <w:rFonts w:cs="Times New Roman"/>
          <w:lang w:val="cs-CZ"/>
        </w:rPr>
        <w:t>VaVaI</w:t>
      </w:r>
      <w:r w:rsidRPr="00375A49">
        <w:rPr>
          <w:rFonts w:cs="Times New Roman"/>
          <w:lang w:val="cs-CZ"/>
        </w:rPr>
        <w:t xml:space="preserve"> </w:t>
      </w:r>
      <w:r w:rsidR="00177D38">
        <w:rPr>
          <w:rFonts w:cs="Times New Roman"/>
          <w:lang w:val="cs-CZ"/>
        </w:rPr>
        <w:t>vysoké školy</w:t>
      </w:r>
      <w:r w:rsidR="00633D4D">
        <w:rPr>
          <w:rFonts w:cs="Times New Roman"/>
          <w:lang w:val="cs-CZ"/>
        </w:rPr>
        <w:t xml:space="preserve"> (průměrné přepočtené počty)</w:t>
      </w:r>
    </w:p>
    <w:p w:rsidR="000F31B0" w:rsidRPr="00375A49" w:rsidRDefault="000F31B0" w:rsidP="000F31B0">
      <w:pPr>
        <w:contextualSpacing/>
        <w:jc w:val="both"/>
        <w:rPr>
          <w:rFonts w:cs="Times New Roman"/>
          <w:u w:val="single"/>
          <w:lang w:val="cs-CZ"/>
        </w:rPr>
      </w:pPr>
    </w:p>
    <w:tbl>
      <w:tblPr>
        <w:tblStyle w:val="Mkatabulky"/>
        <w:tblW w:w="10773" w:type="dxa"/>
        <w:jc w:val="center"/>
        <w:tblLook w:val="04A0"/>
      </w:tblPr>
      <w:tblGrid>
        <w:gridCol w:w="2217"/>
        <w:gridCol w:w="679"/>
        <w:gridCol w:w="679"/>
        <w:gridCol w:w="680"/>
        <w:gridCol w:w="680"/>
        <w:gridCol w:w="680"/>
        <w:gridCol w:w="879"/>
        <w:gridCol w:w="680"/>
        <w:gridCol w:w="680"/>
        <w:gridCol w:w="680"/>
        <w:gridCol w:w="680"/>
        <w:gridCol w:w="680"/>
        <w:gridCol w:w="879"/>
      </w:tblGrid>
      <w:tr w:rsidR="000F31B0" w:rsidRPr="00375A49" w:rsidTr="00DC1359">
        <w:trPr>
          <w:jc w:val="center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Akademická/odborná pozice/rok</w:t>
            </w:r>
          </w:p>
        </w:tc>
        <w:tc>
          <w:tcPr>
            <w:tcW w:w="4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Z toho ženy</w:t>
            </w:r>
          </w:p>
        </w:tc>
      </w:tr>
      <w:tr w:rsidR="00A7646E" w:rsidRPr="00375A49" w:rsidTr="00DC135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646E" w:rsidRPr="00375A49" w:rsidRDefault="00A7646E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Profesoři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Docenti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Odborní asistenti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Asistenti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Vědečtí, výzkumní a vývojoví pracovníci podílející se na pedagogické činnosti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Postdoktorandi („postdok“)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Ph.D. studenti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Ostatní vědečtí, výzkumní a vývojoví pracovníci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Vědečtí pracovníci nespadající do ostatních kategorií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54"/>
    </w:tbl>
    <w:p w:rsidR="00633D4D" w:rsidRDefault="00633D4D" w:rsidP="00633D4D">
      <w:pPr>
        <w:ind w:right="-375"/>
        <w:contextualSpacing/>
        <w:jc w:val="both"/>
        <w:rPr>
          <w:rFonts w:eastAsia="OpenSymbol" w:cs="Times New Roman"/>
          <w:sz w:val="20"/>
          <w:szCs w:val="20"/>
          <w:lang w:val="cs-CZ"/>
        </w:rPr>
      </w:pPr>
    </w:p>
    <w:p w:rsidR="000F31B0" w:rsidRPr="00633D4D" w:rsidRDefault="00633D4D" w:rsidP="000F31B0">
      <w:pPr>
        <w:ind w:right="-375"/>
        <w:contextualSpacing/>
        <w:jc w:val="both"/>
        <w:rPr>
          <w:rFonts w:eastAsia="OpenSymbol" w:cs="Times New Roman"/>
          <w:sz w:val="20"/>
          <w:szCs w:val="20"/>
          <w:lang w:val="cs-CZ"/>
        </w:rPr>
      </w:pPr>
      <w:r w:rsidRPr="00375A49">
        <w:rPr>
          <w:rFonts w:eastAsia="OpenSymbol" w:cs="Times New Roman"/>
          <w:sz w:val="20"/>
          <w:szCs w:val="20"/>
          <w:lang w:val="cs-CZ"/>
        </w:rPr>
        <w:t>Pozn.: Průměrným přepočteným počtem se rozumí podíl celkového počtu skutečně odpracovaných hodin za sledované období od 1. 1. do 31. 12. všemi pracovníky (</w:t>
      </w:r>
      <w:r w:rsidR="00386960" w:rsidRPr="00633D4D">
        <w:rPr>
          <w:rFonts w:cs="Times New Roman"/>
          <w:sz w:val="20"/>
          <w:szCs w:val="20"/>
          <w:lang w:val="cs-CZ"/>
        </w:rPr>
        <w:t>bez zahrnutí osob pracujících na DPP a DPČ</w:t>
      </w:r>
      <w:r w:rsidRPr="00375A49">
        <w:rPr>
          <w:rFonts w:eastAsia="OpenSymbol" w:cs="Times New Roman"/>
          <w:sz w:val="20"/>
          <w:szCs w:val="20"/>
          <w:lang w:val="cs-CZ"/>
        </w:rPr>
        <w:t>) a celkového ročního fondu pracovní doby připadajícího na jednoho zaměstnance p</w:t>
      </w:r>
      <w:r>
        <w:rPr>
          <w:rFonts w:eastAsia="OpenSymbol" w:cs="Times New Roman"/>
          <w:sz w:val="20"/>
          <w:szCs w:val="20"/>
          <w:lang w:val="cs-CZ"/>
        </w:rPr>
        <w:t>racujícího plnou pracovní dobu.</w:t>
      </w:r>
    </w:p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4.8 Navazující kariéry absolventů doktorského studia </w:t>
      </w:r>
    </w:p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lang w:val="cs-CZ"/>
        </w:rPr>
      </w:pPr>
      <w:r w:rsidRPr="00375A49">
        <w:rPr>
          <w:lang w:val="cs-CZ"/>
        </w:rPr>
        <w:t>4.8.1 Informace o navazující kariéře absolventů doktorského studia</w:t>
      </w:r>
    </w:p>
    <w:p w:rsidR="000F31B0" w:rsidRPr="00375A49" w:rsidRDefault="000F31B0" w:rsidP="000F31B0">
      <w:pPr>
        <w:contextualSpacing/>
        <w:jc w:val="both"/>
        <w:rPr>
          <w:rFonts w:cs="Times New Roman"/>
          <w:lang w:val="cs-CZ"/>
        </w:rPr>
      </w:pPr>
    </w:p>
    <w:tbl>
      <w:tblPr>
        <w:tblStyle w:val="Mkatabulky"/>
        <w:tblW w:w="9197" w:type="dxa"/>
        <w:jc w:val="center"/>
        <w:shd w:val="clear" w:color="auto" w:fill="F2F2F2" w:themeFill="background1" w:themeFillShade="F2"/>
        <w:tblLook w:val="04A0"/>
      </w:tblPr>
      <w:tblGrid>
        <w:gridCol w:w="1838"/>
        <w:gridCol w:w="2545"/>
        <w:gridCol w:w="1141"/>
        <w:gridCol w:w="3673"/>
      </w:tblGrid>
      <w:tr w:rsidR="000F31B0" w:rsidRPr="00375A49" w:rsidTr="00DC1359">
        <w:trPr>
          <w:jc w:val="center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Jméno, příjmení</w:t>
            </w:r>
            <w:r w:rsidR="000036FA">
              <w:rPr>
                <w:rFonts w:cs="Times New Roman"/>
                <w:sz w:val="20"/>
                <w:szCs w:val="20"/>
              </w:rPr>
              <w:t>/iniciály</w:t>
            </w:r>
            <w:r w:rsidRPr="00375A49">
              <w:rPr>
                <w:rFonts w:cs="Times New Roman"/>
                <w:sz w:val="20"/>
                <w:szCs w:val="20"/>
              </w:rPr>
              <w:t xml:space="preserve"> a tituly absolventa</w:t>
            </w:r>
          </w:p>
        </w:tc>
        <w:tc>
          <w:tcPr>
            <w:tcW w:w="2545" w:type="dxa"/>
            <w:vMerge w:val="restart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 xml:space="preserve">Název oboru, v němž absolvent získal v ČR titul Ph.D. </w:t>
            </w:r>
          </w:p>
        </w:tc>
        <w:tc>
          <w:tcPr>
            <w:tcW w:w="1141" w:type="dxa"/>
            <w:vMerge w:val="restart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Rok získání titulu Ph.D. v ČR</w:t>
            </w:r>
          </w:p>
        </w:tc>
        <w:tc>
          <w:tcPr>
            <w:tcW w:w="3673" w:type="dxa"/>
            <w:shd w:val="clear" w:color="auto" w:fill="F2F2F2" w:themeFill="background1" w:themeFillShade="F2"/>
            <w:vAlign w:val="center"/>
          </w:tcPr>
          <w:p w:rsidR="000F31B0" w:rsidRPr="00375A49" w:rsidRDefault="00016F7D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Navazující kariéra </w:t>
            </w:r>
          </w:p>
        </w:tc>
      </w:tr>
      <w:tr w:rsidR="000F31B0" w:rsidRPr="0099636E" w:rsidTr="00DC1359">
        <w:trPr>
          <w:jc w:val="center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45" w:type="dxa"/>
            <w:vMerge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41" w:type="dxa"/>
            <w:vMerge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7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375A49">
              <w:rPr>
                <w:rFonts w:cs="Times New Roman"/>
                <w:sz w:val="20"/>
                <w:szCs w:val="20"/>
              </w:rPr>
              <w:t>Název zaměstnavatele, pracovní pozice, období</w:t>
            </w:r>
          </w:p>
        </w:tc>
      </w:tr>
      <w:tr w:rsidR="000F31B0" w:rsidRPr="0099636E" w:rsidTr="00DC1359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7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</w:tr>
      <w:tr w:rsidR="000F31B0" w:rsidRPr="0099636E" w:rsidTr="00DC1359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7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</w:tr>
      <w:tr w:rsidR="000F31B0" w:rsidRPr="0099636E" w:rsidTr="00DC1359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7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</w:tr>
      <w:tr w:rsidR="000F31B0" w:rsidRPr="0099636E" w:rsidTr="00DC1359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7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</w:tr>
      <w:tr w:rsidR="000F31B0" w:rsidRPr="0099636E" w:rsidTr="00DC1359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7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</w:tr>
      <w:tr w:rsidR="000F31B0" w:rsidRPr="0099636E" w:rsidTr="00DC1359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7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</w:tr>
      <w:tr w:rsidR="000F31B0" w:rsidRPr="0099636E" w:rsidTr="00DC1359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7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</w:tr>
      <w:tr w:rsidR="000F31B0" w:rsidRPr="0099636E" w:rsidTr="00DC1359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7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</w:tr>
      <w:tr w:rsidR="000F31B0" w:rsidRPr="0099636E" w:rsidTr="00DC1359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4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7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0F31B0" w:rsidRPr="00375A49" w:rsidRDefault="000F31B0" w:rsidP="000F31B0">
      <w:pPr>
        <w:jc w:val="both"/>
        <w:rPr>
          <w:b/>
          <w:lang w:val="cs-CZ"/>
        </w:rPr>
      </w:pPr>
    </w:p>
    <w:p w:rsidR="000036FA" w:rsidRPr="00375A49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 w:rsidRPr="00375A49">
        <w:rPr>
          <w:rFonts w:cstheme="minorHAnsi"/>
          <w:sz w:val="20"/>
          <w:szCs w:val="20"/>
          <w:lang w:val="cs-CZ"/>
        </w:rPr>
        <w:t>Pozn.:</w:t>
      </w:r>
      <w:r w:rsidR="000036FA">
        <w:rPr>
          <w:rFonts w:cstheme="minorHAnsi"/>
          <w:sz w:val="20"/>
          <w:szCs w:val="20"/>
          <w:lang w:val="cs-CZ"/>
        </w:rPr>
        <w:t xml:space="preserve"> </w:t>
      </w:r>
      <w:r w:rsidR="000036FA">
        <w:rPr>
          <w:sz w:val="20"/>
          <w:szCs w:val="20"/>
        </w:rPr>
        <w:t>Uveďte maximálně 10 příkladů uplatnění absolventů doktorského studia, kteří dosáhli význačnéh</w:t>
      </w:r>
      <w:r w:rsidR="00692C02">
        <w:rPr>
          <w:sz w:val="20"/>
          <w:szCs w:val="20"/>
        </w:rPr>
        <w:t>o uplatnění v hodnoceném období</w:t>
      </w:r>
      <w:r w:rsidR="000036FA">
        <w:rPr>
          <w:sz w:val="20"/>
          <w:szCs w:val="20"/>
        </w:rPr>
        <w:t xml:space="preserve"> 2014 až 2018. Vykazovat se mohou absolventi, kteří absolvovali v hodnoceném období anebo v období pěti let před hodnoceným obdobím (tedy počínaje rokem 2009).</w:t>
      </w:r>
      <w:r w:rsidR="00386960">
        <w:rPr>
          <w:sz w:val="20"/>
          <w:szCs w:val="20"/>
        </w:rPr>
        <w:t xml:space="preserve"> </w:t>
      </w:r>
      <w:r w:rsidR="000036FA">
        <w:rPr>
          <w:sz w:val="20"/>
          <w:szCs w:val="20"/>
        </w:rPr>
        <w:t>V případě, že jména absolventů nejsou veřejně dostupná, uveďte pouze jejich inic</w:t>
      </w:r>
      <w:r w:rsidR="00386960">
        <w:rPr>
          <w:sz w:val="20"/>
          <w:szCs w:val="20"/>
        </w:rPr>
        <w:t>i</w:t>
      </w:r>
      <w:r w:rsidR="000036FA">
        <w:rPr>
          <w:sz w:val="20"/>
          <w:szCs w:val="20"/>
        </w:rPr>
        <w:t>ály.</w:t>
      </w:r>
    </w:p>
    <w:p w:rsidR="000F31B0" w:rsidRPr="00375A49" w:rsidRDefault="000F31B0" w:rsidP="000F31B0">
      <w:pPr>
        <w:contextualSpacing/>
        <w:jc w:val="both"/>
        <w:rPr>
          <w:rFonts w:cs="Times New Roman"/>
          <w:b/>
          <w:lang w:val="cs-CZ"/>
        </w:rPr>
      </w:pPr>
    </w:p>
    <w:p w:rsidR="004302E7" w:rsidRDefault="004302E7" w:rsidP="000F31B0">
      <w:pPr>
        <w:contextualSpacing/>
        <w:jc w:val="both"/>
        <w:rPr>
          <w:rFonts w:cs="Times New Roman"/>
          <w:b/>
          <w:lang w:val="cs-CZ"/>
        </w:rPr>
      </w:pPr>
    </w:p>
    <w:p w:rsidR="00633D4D" w:rsidRDefault="00633D4D" w:rsidP="000F31B0">
      <w:pPr>
        <w:contextualSpacing/>
        <w:jc w:val="both"/>
        <w:rPr>
          <w:rFonts w:cs="Times New Roman"/>
          <w:b/>
          <w:lang w:val="cs-CZ"/>
        </w:rPr>
      </w:pPr>
    </w:p>
    <w:p w:rsidR="000F31B0" w:rsidRPr="00375A49" w:rsidRDefault="000F31B0" w:rsidP="000F31B0">
      <w:pPr>
        <w:contextualSpacing/>
        <w:jc w:val="both"/>
        <w:rPr>
          <w:rFonts w:cs="Times New Roman"/>
          <w:b/>
          <w:lang w:val="cs-CZ"/>
        </w:rPr>
      </w:pPr>
      <w:r w:rsidRPr="00375A49">
        <w:rPr>
          <w:rFonts w:cs="Times New Roman"/>
          <w:b/>
          <w:lang w:val="cs-CZ"/>
        </w:rPr>
        <w:t>4.17 Struktura lidských zdrojů</w:t>
      </w:r>
    </w:p>
    <w:p w:rsidR="000F31B0" w:rsidRPr="00375A49" w:rsidRDefault="000F31B0" w:rsidP="000F31B0">
      <w:pPr>
        <w:contextualSpacing/>
        <w:jc w:val="both"/>
        <w:rPr>
          <w:rFonts w:cs="Times New Roman"/>
          <w:lang w:val="cs-CZ"/>
        </w:rPr>
      </w:pPr>
    </w:p>
    <w:p w:rsidR="000F31B0" w:rsidRPr="00375A49" w:rsidRDefault="000F31B0" w:rsidP="000F31B0">
      <w:pPr>
        <w:contextualSpacing/>
        <w:jc w:val="both"/>
        <w:rPr>
          <w:rFonts w:cstheme="minorHAnsi"/>
          <w:lang w:val="cs-CZ"/>
        </w:rPr>
      </w:pPr>
      <w:r w:rsidRPr="00375A49">
        <w:rPr>
          <w:rFonts w:cs="Times New Roman"/>
          <w:lang w:val="cs-CZ"/>
        </w:rPr>
        <w:t>4.17</w:t>
      </w:r>
      <w:r w:rsidR="00177D38">
        <w:rPr>
          <w:rFonts w:cs="Times New Roman"/>
          <w:lang w:val="cs-CZ"/>
        </w:rPr>
        <w:t>.1 Věková struktura pracovníků vysoké školy</w:t>
      </w:r>
      <w:r w:rsidRPr="00375A49">
        <w:rPr>
          <w:rFonts w:cs="Times New Roman"/>
          <w:lang w:val="cs-CZ"/>
        </w:rPr>
        <w:t xml:space="preserve">, kteří se podíleli na </w:t>
      </w:r>
      <w:r w:rsidR="0079655F">
        <w:rPr>
          <w:rFonts w:cs="Times New Roman"/>
          <w:lang w:val="cs-CZ"/>
        </w:rPr>
        <w:t>VaVaI</w:t>
      </w:r>
      <w:r w:rsidRPr="00375A49">
        <w:rPr>
          <w:rFonts w:cs="Times New Roman"/>
          <w:lang w:val="cs-CZ"/>
        </w:rPr>
        <w:t>, a jejich struktura podle pracovního zařazení a genderu v roce 201</w:t>
      </w:r>
      <w:r w:rsidR="00A7646E">
        <w:rPr>
          <w:rFonts w:cs="Times New Roman"/>
          <w:lang w:val="cs-CZ"/>
        </w:rPr>
        <w:t>4</w:t>
      </w:r>
      <w:r w:rsidRPr="00375A49">
        <w:rPr>
          <w:rFonts w:cs="Times New Roman"/>
          <w:lang w:val="cs-CZ"/>
        </w:rPr>
        <w:t xml:space="preserve"> </w:t>
      </w:r>
      <w:r w:rsidRPr="00375A49">
        <w:rPr>
          <w:rFonts w:cstheme="minorHAnsi"/>
          <w:lang w:val="cs-CZ"/>
        </w:rPr>
        <w:t>(počty fyzických zaměstnanců a pracovníků)</w:t>
      </w:r>
    </w:p>
    <w:p w:rsidR="000F31B0" w:rsidRPr="00375A49" w:rsidRDefault="000F31B0" w:rsidP="000F31B0">
      <w:pPr>
        <w:contextualSpacing/>
        <w:jc w:val="both"/>
        <w:rPr>
          <w:rFonts w:cs="Times New Roman"/>
          <w:b/>
          <w:u w:val="single"/>
          <w:lang w:val="cs-CZ"/>
        </w:rPr>
      </w:pPr>
    </w:p>
    <w:tbl>
      <w:tblPr>
        <w:tblStyle w:val="Mkatabulky"/>
        <w:tblW w:w="10773" w:type="dxa"/>
        <w:jc w:val="center"/>
        <w:tblLayout w:type="fixed"/>
        <w:tblLook w:val="04A0"/>
      </w:tblPr>
      <w:tblGrid>
        <w:gridCol w:w="2295"/>
        <w:gridCol w:w="707"/>
        <w:gridCol w:w="709"/>
        <w:gridCol w:w="707"/>
        <w:gridCol w:w="707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0F31B0" w:rsidRPr="00375A49" w:rsidTr="00F46071">
        <w:trPr>
          <w:jc w:val="center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Akademická/</w:t>
            </w:r>
          </w:p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odborná pozice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Do 29 let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30 – 39 let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40 – 49 let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50 – 59 let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60 – 69 let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 xml:space="preserve">70 </w:t>
            </w:r>
            <w:r w:rsidR="00B647A8">
              <w:rPr>
                <w:rFonts w:cstheme="minorHAnsi"/>
                <w:sz w:val="20"/>
                <w:szCs w:val="20"/>
              </w:rPr>
              <w:t>a více</w:t>
            </w:r>
            <w:r w:rsidR="003E0BB5">
              <w:rPr>
                <w:rFonts w:cstheme="minorHAnsi"/>
                <w:sz w:val="20"/>
                <w:szCs w:val="20"/>
              </w:rPr>
              <w:t xml:space="preserve"> let</w:t>
            </w:r>
          </w:p>
        </w:tc>
      </w:tr>
      <w:tr w:rsidR="000F31B0" w:rsidRPr="00375A49" w:rsidTr="00F46071">
        <w:trPr>
          <w:jc w:val="center"/>
        </w:trPr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Ženy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Ženy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Ženy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Ženy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Ženy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Ženy</w:t>
            </w:r>
          </w:p>
        </w:tc>
      </w:tr>
      <w:tr w:rsidR="000F31B0" w:rsidRPr="00375A49" w:rsidTr="00F46071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Profesoři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Docenti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Odborní asistenti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Asistenti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Vědečtí, výzkumní a vývojoví pracovníci podílející se na pedagogické činnosti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Postdoktorandi („postdok“)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Ph.D. studenti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Ostatní vědečtí, výzkumní a vývojoví pracovníci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Vědečtí pracovníci nespadající do ostatních kategorií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F31B0" w:rsidRPr="00375A49" w:rsidRDefault="000F31B0" w:rsidP="000F31B0">
      <w:pPr>
        <w:contextualSpacing/>
        <w:jc w:val="both"/>
        <w:rPr>
          <w:rFonts w:cs="Times New Roman"/>
          <w:b/>
          <w:lang w:val="cs-CZ"/>
        </w:rPr>
      </w:pPr>
    </w:p>
    <w:p w:rsidR="000F31B0" w:rsidRPr="00375A49" w:rsidRDefault="000F31B0" w:rsidP="000F31B0">
      <w:pPr>
        <w:ind w:right="-517"/>
        <w:contextualSpacing/>
        <w:jc w:val="both"/>
        <w:rPr>
          <w:rFonts w:cs="Times New Roman"/>
          <w:sz w:val="20"/>
          <w:szCs w:val="20"/>
          <w:lang w:val="cs-CZ"/>
        </w:rPr>
      </w:pPr>
      <w:r w:rsidRPr="00375A49">
        <w:rPr>
          <w:rFonts w:cs="Times New Roman"/>
          <w:sz w:val="20"/>
          <w:szCs w:val="20"/>
          <w:lang w:val="cs-CZ"/>
        </w:rPr>
        <w:t xml:space="preserve">Pozn.: Uvede se celkový počet zaměstnanců/pracovníků </w:t>
      </w:r>
      <w:r w:rsidR="00B137E5">
        <w:rPr>
          <w:rFonts w:cs="Times New Roman"/>
          <w:sz w:val="20"/>
          <w:szCs w:val="20"/>
          <w:lang w:val="cs-CZ"/>
        </w:rPr>
        <w:t xml:space="preserve">k 31. 12. daného kalendářního roku </w:t>
      </w:r>
      <w:r w:rsidRPr="00375A49">
        <w:rPr>
          <w:rFonts w:cs="Times New Roman"/>
          <w:sz w:val="20"/>
          <w:szCs w:val="20"/>
          <w:lang w:val="cs-CZ"/>
        </w:rPr>
        <w:t xml:space="preserve">bez ohledu na výši úvazku, ale pouze v pracovním poměru, </w:t>
      </w:r>
      <w:r w:rsidR="00CF4E18">
        <w:rPr>
          <w:rFonts w:cs="Times New Roman"/>
          <w:sz w:val="20"/>
          <w:szCs w:val="20"/>
          <w:lang w:val="cs-CZ"/>
        </w:rPr>
        <w:t xml:space="preserve">tj. </w:t>
      </w:r>
      <w:r w:rsidRPr="00375A49">
        <w:rPr>
          <w:rFonts w:cs="Times New Roman"/>
          <w:sz w:val="20"/>
          <w:szCs w:val="20"/>
          <w:lang w:val="cs-CZ"/>
        </w:rPr>
        <w:t>bez zahrnutí osob pracujících na DPP a DPČ. Nezahrnuje jiné typy smluvních vztahů dle občanského zákoníku, které mají charakter nákupu služeb.</w:t>
      </w:r>
    </w:p>
    <w:p w:rsidR="000F31B0" w:rsidRPr="00375A49" w:rsidRDefault="000F31B0" w:rsidP="000F31B0">
      <w:pPr>
        <w:contextualSpacing/>
        <w:jc w:val="both"/>
        <w:rPr>
          <w:rFonts w:cs="Times New Roman"/>
          <w:b/>
          <w:lang w:val="cs-CZ"/>
        </w:rPr>
      </w:pPr>
    </w:p>
    <w:p w:rsidR="000F31B0" w:rsidRPr="00375A49" w:rsidRDefault="000F31B0" w:rsidP="000F31B0">
      <w:pPr>
        <w:contextualSpacing/>
        <w:jc w:val="both"/>
        <w:rPr>
          <w:rFonts w:cstheme="minorHAnsi"/>
          <w:lang w:val="cs-CZ"/>
        </w:rPr>
      </w:pPr>
      <w:r w:rsidRPr="00375A49">
        <w:rPr>
          <w:rFonts w:cs="Times New Roman"/>
          <w:lang w:val="cs-CZ"/>
        </w:rPr>
        <w:t>4.17.2 Věková struktura p</w:t>
      </w:r>
      <w:r w:rsidR="00177D38">
        <w:rPr>
          <w:rFonts w:cs="Times New Roman"/>
          <w:lang w:val="cs-CZ"/>
        </w:rPr>
        <w:t>racovníků vysoké školy</w:t>
      </w:r>
      <w:r w:rsidRPr="00375A49">
        <w:rPr>
          <w:rFonts w:cs="Times New Roman"/>
          <w:lang w:val="cs-CZ"/>
        </w:rPr>
        <w:t xml:space="preserve">, kteří se podíleli na </w:t>
      </w:r>
      <w:r w:rsidR="0079655F">
        <w:rPr>
          <w:rFonts w:cs="Times New Roman"/>
          <w:lang w:val="cs-CZ"/>
        </w:rPr>
        <w:t>VaVaI</w:t>
      </w:r>
      <w:r w:rsidRPr="00375A49">
        <w:rPr>
          <w:rFonts w:cs="Times New Roman"/>
          <w:lang w:val="cs-CZ"/>
        </w:rPr>
        <w:t>, a jejich struktura podle pracovního zařazení a genderu v roce 201</w:t>
      </w:r>
      <w:r w:rsidR="00A7646E">
        <w:rPr>
          <w:rFonts w:cs="Times New Roman"/>
          <w:lang w:val="cs-CZ"/>
        </w:rPr>
        <w:t>8</w:t>
      </w:r>
      <w:r w:rsidRPr="00375A49">
        <w:rPr>
          <w:rFonts w:cs="Times New Roman"/>
          <w:lang w:val="cs-CZ"/>
        </w:rPr>
        <w:t xml:space="preserve"> </w:t>
      </w:r>
      <w:r w:rsidRPr="00375A49">
        <w:rPr>
          <w:rFonts w:cstheme="minorHAnsi"/>
          <w:lang w:val="cs-CZ"/>
        </w:rPr>
        <w:t>(počty fyzických zaměstnanců a pracovníků)</w:t>
      </w:r>
    </w:p>
    <w:p w:rsidR="000F31B0" w:rsidRPr="00375A49" w:rsidRDefault="000F31B0" w:rsidP="000F31B0">
      <w:pPr>
        <w:contextualSpacing/>
        <w:jc w:val="both"/>
        <w:rPr>
          <w:rFonts w:cs="Times New Roman"/>
          <w:u w:val="single"/>
          <w:lang w:val="cs-CZ"/>
        </w:rPr>
      </w:pPr>
    </w:p>
    <w:tbl>
      <w:tblPr>
        <w:tblStyle w:val="Mkatabulky"/>
        <w:tblW w:w="10773" w:type="dxa"/>
        <w:jc w:val="center"/>
        <w:shd w:val="clear" w:color="auto" w:fill="F2F2F2" w:themeFill="background1" w:themeFillShade="F2"/>
        <w:tblLook w:val="04A0"/>
      </w:tblPr>
      <w:tblGrid>
        <w:gridCol w:w="2285"/>
        <w:gridCol w:w="705"/>
        <w:gridCol w:w="707"/>
        <w:gridCol w:w="710"/>
        <w:gridCol w:w="709"/>
        <w:gridCol w:w="708"/>
        <w:gridCol w:w="709"/>
        <w:gridCol w:w="710"/>
        <w:gridCol w:w="706"/>
        <w:gridCol w:w="706"/>
        <w:gridCol w:w="706"/>
        <w:gridCol w:w="706"/>
        <w:gridCol w:w="706"/>
      </w:tblGrid>
      <w:tr w:rsidR="000F31B0" w:rsidRPr="00375A49" w:rsidTr="00F46071">
        <w:trPr>
          <w:jc w:val="center"/>
        </w:trPr>
        <w:tc>
          <w:tcPr>
            <w:tcW w:w="2285" w:type="dxa"/>
            <w:vMerge w:val="restart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spacing w:before="17"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Akademická/</w:t>
            </w:r>
          </w:p>
          <w:p w:rsidR="000F31B0" w:rsidRPr="00375A49" w:rsidRDefault="000F31B0" w:rsidP="00DC1359">
            <w:pPr>
              <w:spacing w:before="17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375A49">
              <w:rPr>
                <w:rFonts w:cstheme="minorHAnsi"/>
                <w:sz w:val="20"/>
                <w:szCs w:val="20"/>
              </w:rPr>
              <w:t>odborná pozice</w:t>
            </w:r>
          </w:p>
        </w:tc>
        <w:tc>
          <w:tcPr>
            <w:tcW w:w="1412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do 29 let</w:t>
            </w:r>
          </w:p>
        </w:tc>
        <w:tc>
          <w:tcPr>
            <w:tcW w:w="1419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30 – 39 let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40 – 49 let</w:t>
            </w:r>
          </w:p>
        </w:tc>
        <w:tc>
          <w:tcPr>
            <w:tcW w:w="1416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50 – 59 let</w:t>
            </w:r>
          </w:p>
        </w:tc>
        <w:tc>
          <w:tcPr>
            <w:tcW w:w="1412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60 – 69 let</w:t>
            </w:r>
          </w:p>
        </w:tc>
        <w:tc>
          <w:tcPr>
            <w:tcW w:w="1412" w:type="dxa"/>
            <w:gridSpan w:val="2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 xml:space="preserve">70 </w:t>
            </w:r>
            <w:r w:rsidR="00B647A8">
              <w:rPr>
                <w:rFonts w:cstheme="minorHAnsi"/>
                <w:sz w:val="20"/>
                <w:szCs w:val="20"/>
              </w:rPr>
              <w:t>a více</w:t>
            </w:r>
            <w:r w:rsidR="003E0BB5">
              <w:rPr>
                <w:rFonts w:cstheme="minorHAnsi"/>
                <w:sz w:val="20"/>
                <w:szCs w:val="20"/>
              </w:rPr>
              <w:t xml:space="preserve"> let</w:t>
            </w:r>
          </w:p>
        </w:tc>
      </w:tr>
      <w:tr w:rsidR="000F31B0" w:rsidRPr="00375A49" w:rsidTr="00F46071">
        <w:trPr>
          <w:jc w:val="center"/>
        </w:trPr>
        <w:tc>
          <w:tcPr>
            <w:tcW w:w="2285" w:type="dxa"/>
            <w:vMerge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before="17"/>
              <w:jc w:val="both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Cel.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Ženy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Ženy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Ženy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Cel.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Ženy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Cel.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Ženy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Cel.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Ženy</w:t>
            </w:r>
          </w:p>
        </w:tc>
      </w:tr>
      <w:tr w:rsidR="000F31B0" w:rsidRPr="00375A49" w:rsidTr="00F46071">
        <w:trPr>
          <w:jc w:val="center"/>
        </w:trPr>
        <w:tc>
          <w:tcPr>
            <w:tcW w:w="228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before="17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375A49">
              <w:rPr>
                <w:rFonts w:cstheme="minorHAnsi"/>
                <w:sz w:val="20"/>
                <w:szCs w:val="20"/>
              </w:rPr>
              <w:t>Profesoři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8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before="17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375A49">
              <w:rPr>
                <w:rFonts w:cstheme="minorHAnsi"/>
                <w:sz w:val="20"/>
                <w:szCs w:val="20"/>
              </w:rPr>
              <w:t>Docenti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8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before="17"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Odborní asistenti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8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before="17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375A49">
              <w:rPr>
                <w:rFonts w:cstheme="minorHAnsi"/>
                <w:sz w:val="20"/>
                <w:szCs w:val="20"/>
              </w:rPr>
              <w:t>Asistenti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8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before="17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375A49">
              <w:rPr>
                <w:rFonts w:cstheme="minorHAnsi"/>
                <w:sz w:val="20"/>
                <w:szCs w:val="20"/>
              </w:rPr>
              <w:t>Vědečtí, výzkumní a vývojoví pracovníci podílející se na pedagogické činnosti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8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before="17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375A49">
              <w:rPr>
                <w:rFonts w:cstheme="minorHAnsi"/>
                <w:sz w:val="20"/>
                <w:szCs w:val="20"/>
              </w:rPr>
              <w:t>Postdoktorandi („postdok“)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8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before="17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375A49">
              <w:rPr>
                <w:rFonts w:cstheme="minorHAnsi"/>
                <w:sz w:val="20"/>
                <w:szCs w:val="20"/>
              </w:rPr>
              <w:t>Ph.D. studenti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8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before="17"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Ostatní vědečtí, výzkumní a vývojoví pracovníci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F46071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 xml:space="preserve">Vědečtí pracovníci </w:t>
            </w:r>
            <w:r w:rsidRPr="00375A49">
              <w:rPr>
                <w:rFonts w:cstheme="minorHAnsi"/>
                <w:sz w:val="20"/>
                <w:szCs w:val="20"/>
              </w:rPr>
              <w:lastRenderedPageBreak/>
              <w:t>nespadající do ostatních kategorií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2D330D" w:rsidRDefault="002D330D" w:rsidP="000F31B0">
      <w:pPr>
        <w:ind w:right="-375"/>
        <w:contextualSpacing/>
        <w:jc w:val="both"/>
        <w:rPr>
          <w:rFonts w:eastAsia="OpenSymbol" w:cs="Times New Roman"/>
          <w:sz w:val="20"/>
          <w:szCs w:val="20"/>
          <w:lang w:val="cs-CZ"/>
        </w:rPr>
      </w:pPr>
    </w:p>
    <w:p w:rsidR="003E0BB5" w:rsidRDefault="000F31B0" w:rsidP="000F31B0">
      <w:pPr>
        <w:ind w:right="-375"/>
        <w:contextualSpacing/>
        <w:jc w:val="both"/>
        <w:rPr>
          <w:rFonts w:eastAsia="OpenSymbol" w:cs="Times New Roman"/>
          <w:sz w:val="20"/>
          <w:szCs w:val="20"/>
          <w:lang w:val="cs-CZ"/>
        </w:rPr>
      </w:pPr>
      <w:r w:rsidRPr="00375A49">
        <w:rPr>
          <w:rFonts w:eastAsia="OpenSymbol" w:cs="Times New Roman"/>
          <w:sz w:val="20"/>
          <w:szCs w:val="20"/>
          <w:lang w:val="cs-CZ"/>
        </w:rPr>
        <w:t xml:space="preserve">Pozn.: Uvede se celkový počet zaměstnanců/pracovníků </w:t>
      </w:r>
      <w:r w:rsidR="00B137E5">
        <w:rPr>
          <w:rFonts w:cs="Times New Roman"/>
          <w:sz w:val="20"/>
          <w:szCs w:val="20"/>
          <w:lang w:val="cs-CZ"/>
        </w:rPr>
        <w:t xml:space="preserve">k 31. 12. daného kalendářního roku </w:t>
      </w:r>
      <w:r w:rsidRPr="00375A49">
        <w:rPr>
          <w:rFonts w:eastAsia="OpenSymbol" w:cs="Times New Roman"/>
          <w:sz w:val="20"/>
          <w:szCs w:val="20"/>
          <w:lang w:val="cs-CZ"/>
        </w:rPr>
        <w:t xml:space="preserve">bez ohledu na výši úvazku, ale pouze v pracovním poměru, </w:t>
      </w:r>
      <w:r w:rsidR="00CF4E18">
        <w:rPr>
          <w:rFonts w:eastAsia="OpenSymbol" w:cs="Times New Roman"/>
          <w:sz w:val="20"/>
          <w:szCs w:val="20"/>
          <w:lang w:val="cs-CZ"/>
        </w:rPr>
        <w:t xml:space="preserve">tj. </w:t>
      </w:r>
      <w:r w:rsidRPr="00375A49">
        <w:rPr>
          <w:rFonts w:eastAsia="OpenSymbol" w:cs="Times New Roman"/>
          <w:sz w:val="20"/>
          <w:szCs w:val="20"/>
          <w:lang w:val="cs-CZ"/>
        </w:rPr>
        <w:t>bez zahrnutí osob prac</w:t>
      </w:r>
      <w:r w:rsidR="0079655F">
        <w:rPr>
          <w:rFonts w:eastAsia="OpenSymbol" w:cs="Times New Roman"/>
          <w:sz w:val="20"/>
          <w:szCs w:val="20"/>
          <w:lang w:val="cs-CZ"/>
        </w:rPr>
        <w:t>ujících na DPP a DPČ. Nezahrnují se</w:t>
      </w:r>
      <w:r w:rsidRPr="00375A49">
        <w:rPr>
          <w:rFonts w:eastAsia="OpenSymbol" w:cs="Times New Roman"/>
          <w:sz w:val="20"/>
          <w:szCs w:val="20"/>
          <w:lang w:val="cs-CZ"/>
        </w:rPr>
        <w:t xml:space="preserve"> jiné typy smluvních vztahů dle občanského zákoníku, které mají charakter nákupu služeb.</w:t>
      </w:r>
    </w:p>
    <w:p w:rsidR="002D330D" w:rsidRPr="00375A49" w:rsidRDefault="002D330D" w:rsidP="000F31B0">
      <w:pPr>
        <w:ind w:right="-375"/>
        <w:contextualSpacing/>
        <w:jc w:val="both"/>
        <w:rPr>
          <w:rFonts w:eastAsia="OpenSymbol" w:cs="Times New Roman"/>
          <w:sz w:val="20"/>
          <w:szCs w:val="20"/>
          <w:lang w:val="cs-CZ"/>
        </w:rPr>
      </w:pPr>
    </w:p>
    <w:p w:rsidR="000F31B0" w:rsidRPr="00375A49" w:rsidRDefault="000F31B0" w:rsidP="000F31B0">
      <w:pPr>
        <w:rPr>
          <w:rFonts w:cs="Times New Roman"/>
          <w:lang w:val="cs-CZ"/>
        </w:rPr>
      </w:pPr>
      <w:r w:rsidRPr="00375A49">
        <w:rPr>
          <w:rFonts w:cs="Times New Roman"/>
          <w:lang w:val="cs-CZ"/>
        </w:rPr>
        <w:t xml:space="preserve">4.17.3 Pracovníci podílející se na </w:t>
      </w:r>
      <w:r w:rsidR="0079655F">
        <w:rPr>
          <w:rFonts w:cs="Times New Roman"/>
          <w:lang w:val="cs-CZ"/>
        </w:rPr>
        <w:t>VaVaI</w:t>
      </w:r>
      <w:r w:rsidR="00177D38">
        <w:rPr>
          <w:rFonts w:cs="Times New Roman"/>
          <w:lang w:val="cs-CZ"/>
        </w:rPr>
        <w:t xml:space="preserve"> vysoké školy</w:t>
      </w:r>
      <w:r w:rsidRPr="00375A49">
        <w:rPr>
          <w:rFonts w:cs="Times New Roman"/>
          <w:lang w:val="cs-CZ"/>
        </w:rPr>
        <w:t>, kteří měli v roce 201</w:t>
      </w:r>
      <w:r w:rsidR="00A7646E">
        <w:rPr>
          <w:rFonts w:cs="Times New Roman"/>
          <w:lang w:val="cs-CZ"/>
        </w:rPr>
        <w:t>4</w:t>
      </w:r>
      <w:r w:rsidRPr="00375A49">
        <w:rPr>
          <w:rFonts w:cs="Times New Roman"/>
          <w:lang w:val="cs-CZ"/>
        </w:rPr>
        <w:t xml:space="preserve"> a 201</w:t>
      </w:r>
      <w:r w:rsidR="00A7646E">
        <w:rPr>
          <w:rFonts w:cs="Times New Roman"/>
          <w:lang w:val="cs-CZ"/>
        </w:rPr>
        <w:t>8</w:t>
      </w:r>
      <w:r w:rsidRPr="00375A49">
        <w:rPr>
          <w:rFonts w:cs="Times New Roman"/>
          <w:lang w:val="cs-CZ"/>
        </w:rPr>
        <w:t xml:space="preserve"> cizí státní občanství</w:t>
      </w:r>
      <w:r w:rsidR="00400808">
        <w:rPr>
          <w:rFonts w:cs="Times New Roman"/>
          <w:lang w:val="cs-CZ"/>
        </w:rPr>
        <w:t>, vyjma pracovníků se slovenským státním občanstvím</w:t>
      </w:r>
      <w:r w:rsidRPr="00375A49">
        <w:rPr>
          <w:rFonts w:cs="Times New Roman"/>
          <w:lang w:val="cs-CZ"/>
        </w:rPr>
        <w:t xml:space="preserve"> (průměrné přepočtené počty)</w:t>
      </w:r>
    </w:p>
    <w:p w:rsidR="000F31B0" w:rsidRPr="00375A49" w:rsidRDefault="000F31B0" w:rsidP="000F31B0">
      <w:pPr>
        <w:ind w:right="-375"/>
        <w:contextualSpacing/>
        <w:jc w:val="both"/>
        <w:rPr>
          <w:rFonts w:cs="Times New Roman"/>
          <w:b/>
          <w:lang w:val="cs-CZ"/>
        </w:rPr>
      </w:pPr>
    </w:p>
    <w:tbl>
      <w:tblPr>
        <w:tblStyle w:val="Mkatabulky"/>
        <w:tblW w:w="9847" w:type="dxa"/>
        <w:jc w:val="center"/>
        <w:shd w:val="clear" w:color="auto" w:fill="F2F2F2" w:themeFill="background1" w:themeFillShade="F2"/>
        <w:tblLayout w:type="fixed"/>
        <w:tblLook w:val="04A0"/>
      </w:tblPr>
      <w:tblGrid>
        <w:gridCol w:w="5595"/>
        <w:gridCol w:w="1063"/>
        <w:gridCol w:w="1063"/>
        <w:gridCol w:w="1063"/>
        <w:gridCol w:w="1063"/>
      </w:tblGrid>
      <w:tr w:rsidR="000F31B0" w:rsidRPr="00375A49" w:rsidTr="00DC1359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Akademická/odborná pozice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 201</w:t>
            </w:r>
            <w:r w:rsidR="00A7646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Z toho ženy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A764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 201</w:t>
            </w:r>
            <w:r w:rsidR="00A7646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Z toho ženy</w:t>
            </w:r>
          </w:p>
        </w:tc>
      </w:tr>
      <w:tr w:rsidR="000F31B0" w:rsidRPr="00375A49" w:rsidTr="00DC1359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Profesoři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Docenti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Odborní asistenti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Asistenti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Vědečtí, výzkumní a vývojoví pracovníci podílející se na pedagogické činnosti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Postdoktorandi („postdok“)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Ph.D. studenti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Ostatní vědečtí, výzkumní a vývojoví pracovníci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Vědečtí pracovníci nespadající do ostatních kategorií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Celkový počet cizích státních příslušníků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F31B0" w:rsidRDefault="000F31B0" w:rsidP="000F31B0">
      <w:pPr>
        <w:contextualSpacing/>
        <w:jc w:val="both"/>
        <w:rPr>
          <w:rFonts w:cs="Times New Roman"/>
          <w:b/>
          <w:lang w:val="cs-CZ"/>
        </w:rPr>
      </w:pPr>
    </w:p>
    <w:p w:rsidR="006A4AD9" w:rsidRPr="00375A49" w:rsidRDefault="006A4AD9" w:rsidP="006A4AD9">
      <w:pPr>
        <w:ind w:right="-375"/>
        <w:contextualSpacing/>
        <w:jc w:val="both"/>
        <w:rPr>
          <w:rFonts w:eastAsia="OpenSymbol" w:cs="Times New Roman"/>
          <w:sz w:val="20"/>
          <w:szCs w:val="20"/>
          <w:lang w:val="cs-CZ"/>
        </w:rPr>
      </w:pPr>
      <w:r w:rsidRPr="00375A49">
        <w:rPr>
          <w:rFonts w:eastAsia="OpenSymbol" w:cs="Times New Roman"/>
          <w:sz w:val="20"/>
          <w:szCs w:val="20"/>
          <w:lang w:val="cs-CZ"/>
        </w:rPr>
        <w:t>Pozn.: Průměrným přepočteným počtem se rozumí podíl celkového počtu skutečně odpracovaných hodin za  sledované období od 1. 1. do 31. 12. všemi pracovníky (vč. DPČ, mimo DPP) a celkového ročního fondu pracovní doby připadajícího na jednoho zaměstnance pracujícího na plnou pracovní dobu.</w:t>
      </w:r>
    </w:p>
    <w:p w:rsidR="006A4AD9" w:rsidRPr="00375A49" w:rsidRDefault="006A4AD9" w:rsidP="000F31B0">
      <w:pPr>
        <w:contextualSpacing/>
        <w:jc w:val="both"/>
        <w:rPr>
          <w:rFonts w:cs="Times New Roman"/>
          <w:b/>
          <w:lang w:val="cs-CZ"/>
        </w:rPr>
      </w:pPr>
    </w:p>
    <w:p w:rsidR="000F31B0" w:rsidRPr="00375A49" w:rsidRDefault="000F31B0" w:rsidP="000F31B0">
      <w:pPr>
        <w:contextualSpacing/>
        <w:jc w:val="both"/>
        <w:rPr>
          <w:rFonts w:cs="Times New Roman"/>
          <w:lang w:val="cs-CZ"/>
        </w:rPr>
      </w:pPr>
      <w:r w:rsidRPr="00375A49">
        <w:rPr>
          <w:rFonts w:cs="Times New Roman"/>
          <w:b/>
          <w:lang w:val="cs-CZ"/>
        </w:rPr>
        <w:t xml:space="preserve">4.18 Opatření týkající se </w:t>
      </w:r>
      <w:r>
        <w:rPr>
          <w:rFonts w:cs="Times New Roman"/>
          <w:b/>
          <w:lang w:val="cs-CZ"/>
        </w:rPr>
        <w:t>genderové rovnosti</w:t>
      </w:r>
      <w:r w:rsidRPr="00375A49">
        <w:rPr>
          <w:rFonts w:cs="Times New Roman"/>
          <w:lang w:val="cs-CZ"/>
        </w:rPr>
        <w:t xml:space="preserve"> </w:t>
      </w:r>
    </w:p>
    <w:p w:rsidR="000F31B0" w:rsidRPr="00375A49" w:rsidRDefault="000F31B0" w:rsidP="000F31B0">
      <w:pPr>
        <w:contextualSpacing/>
        <w:jc w:val="both"/>
        <w:rPr>
          <w:rFonts w:cs="Times New Roman"/>
          <w:sz w:val="20"/>
          <w:szCs w:val="20"/>
          <w:lang w:val="cs-CZ"/>
        </w:rPr>
      </w:pPr>
    </w:p>
    <w:p w:rsidR="000F31B0" w:rsidRPr="00375A49" w:rsidRDefault="000F31B0" w:rsidP="000F31B0">
      <w:pPr>
        <w:contextualSpacing/>
        <w:jc w:val="both"/>
        <w:rPr>
          <w:rFonts w:cs="Times New Roman"/>
          <w:lang w:val="cs-CZ"/>
        </w:rPr>
      </w:pPr>
      <w:r w:rsidRPr="00375A49">
        <w:rPr>
          <w:rFonts w:cs="Times New Roman"/>
          <w:lang w:val="cs-CZ"/>
        </w:rPr>
        <w:t>4.18.1 Genderová rovnováha ve vedoucích pozicích v roce 201</w:t>
      </w:r>
      <w:r w:rsidR="00A7646E">
        <w:rPr>
          <w:rFonts w:cs="Times New Roman"/>
          <w:lang w:val="cs-CZ"/>
        </w:rPr>
        <w:t>4</w:t>
      </w:r>
    </w:p>
    <w:p w:rsidR="000F31B0" w:rsidRPr="00375A49" w:rsidRDefault="000F31B0" w:rsidP="000F31B0">
      <w:pPr>
        <w:contextualSpacing/>
        <w:jc w:val="both"/>
        <w:rPr>
          <w:rFonts w:cs="Times New Roman"/>
          <w:lang w:val="cs-CZ"/>
        </w:rPr>
      </w:pPr>
    </w:p>
    <w:tbl>
      <w:tblPr>
        <w:tblStyle w:val="Mkatabulky"/>
        <w:tblW w:w="9215" w:type="dxa"/>
        <w:jc w:val="center"/>
        <w:shd w:val="clear" w:color="auto" w:fill="F2F2F2" w:themeFill="background1" w:themeFillShade="F2"/>
        <w:tblLook w:val="04A0"/>
      </w:tblPr>
      <w:tblGrid>
        <w:gridCol w:w="6380"/>
        <w:gridCol w:w="945"/>
        <w:gridCol w:w="945"/>
        <w:gridCol w:w="945"/>
      </w:tblGrid>
      <w:tr w:rsidR="000F31B0" w:rsidRPr="00375A49" w:rsidTr="00DC1359">
        <w:trPr>
          <w:jc w:val="center"/>
        </w:trPr>
        <w:tc>
          <w:tcPr>
            <w:tcW w:w="638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Vedoucí pracovníci</w:t>
            </w:r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Muži</w:t>
            </w:r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Ženy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Celkem</w:t>
            </w:r>
          </w:p>
        </w:tc>
      </w:tr>
      <w:tr w:rsidR="000F31B0" w:rsidRPr="00375A49" w:rsidTr="00DC1359">
        <w:trPr>
          <w:jc w:val="center"/>
        </w:trPr>
        <w:tc>
          <w:tcPr>
            <w:tcW w:w="63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Rektor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u w:val="single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63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Prorektor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u w:val="single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63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Akademický senát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u w:val="single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63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Vědecká/umělecká/akademická rada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u w:val="single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63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Kvestor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u w:val="single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63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Správní rada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u w:val="single"/>
              </w:rPr>
            </w:pPr>
          </w:p>
        </w:tc>
      </w:tr>
    </w:tbl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ind w:right="-375"/>
        <w:contextualSpacing/>
        <w:jc w:val="both"/>
        <w:rPr>
          <w:rFonts w:eastAsia="OpenSymbol" w:cs="Times New Roman"/>
          <w:sz w:val="20"/>
          <w:szCs w:val="20"/>
          <w:lang w:val="cs-CZ"/>
        </w:rPr>
      </w:pPr>
      <w:r w:rsidRPr="00375A49">
        <w:rPr>
          <w:rFonts w:eastAsia="OpenSymbol" w:cs="Times New Roman"/>
          <w:sz w:val="20"/>
          <w:szCs w:val="20"/>
          <w:lang w:val="cs-CZ"/>
        </w:rPr>
        <w:t xml:space="preserve">Pozn.: </w:t>
      </w:r>
      <w:r w:rsidR="00D651A6">
        <w:rPr>
          <w:rFonts w:eastAsia="OpenSymbol" w:cs="Times New Roman"/>
          <w:sz w:val="20"/>
          <w:szCs w:val="20"/>
          <w:lang w:val="cs-CZ"/>
        </w:rPr>
        <w:t xml:space="preserve">Pokud </w:t>
      </w:r>
      <w:r w:rsidRPr="00375A49">
        <w:rPr>
          <w:rFonts w:eastAsia="OpenSymbol" w:cs="Times New Roman"/>
          <w:sz w:val="20"/>
          <w:szCs w:val="20"/>
          <w:lang w:val="cs-CZ"/>
        </w:rPr>
        <w:t>jedna osoba v rámci vysoké školy zastáv</w:t>
      </w:r>
      <w:r w:rsidR="00D651A6">
        <w:rPr>
          <w:rFonts w:eastAsia="OpenSymbol" w:cs="Times New Roman"/>
          <w:sz w:val="20"/>
          <w:szCs w:val="20"/>
          <w:lang w:val="cs-CZ"/>
        </w:rPr>
        <w:t>á</w:t>
      </w:r>
      <w:r w:rsidRPr="00375A49">
        <w:rPr>
          <w:rFonts w:eastAsia="OpenSymbol" w:cs="Times New Roman"/>
          <w:sz w:val="20"/>
          <w:szCs w:val="20"/>
          <w:lang w:val="cs-CZ"/>
        </w:rPr>
        <w:t xml:space="preserve"> více </w:t>
      </w:r>
      <w:r w:rsidR="00D651A6">
        <w:rPr>
          <w:rFonts w:eastAsia="OpenSymbol" w:cs="Times New Roman"/>
          <w:sz w:val="20"/>
          <w:szCs w:val="20"/>
          <w:lang w:val="cs-CZ"/>
        </w:rPr>
        <w:t xml:space="preserve">uvedených </w:t>
      </w:r>
      <w:r w:rsidRPr="00375A49">
        <w:rPr>
          <w:rFonts w:eastAsia="OpenSymbol" w:cs="Times New Roman"/>
          <w:sz w:val="20"/>
          <w:szCs w:val="20"/>
          <w:lang w:val="cs-CZ"/>
        </w:rPr>
        <w:t>pozic</w:t>
      </w:r>
      <w:r w:rsidR="00D651A6">
        <w:rPr>
          <w:rFonts w:eastAsia="OpenSymbol" w:cs="Times New Roman"/>
          <w:sz w:val="20"/>
          <w:szCs w:val="20"/>
          <w:lang w:val="cs-CZ"/>
        </w:rPr>
        <w:t>, započte se v každé z</w:t>
      </w:r>
      <w:r w:rsidR="000D05E1">
        <w:rPr>
          <w:rFonts w:eastAsia="OpenSymbol" w:cs="Times New Roman"/>
          <w:sz w:val="20"/>
          <w:szCs w:val="20"/>
          <w:lang w:val="cs-CZ"/>
        </w:rPr>
        <w:t> </w:t>
      </w:r>
      <w:r w:rsidR="00D651A6">
        <w:rPr>
          <w:rFonts w:eastAsia="OpenSymbol" w:cs="Times New Roman"/>
          <w:sz w:val="20"/>
          <w:szCs w:val="20"/>
          <w:lang w:val="cs-CZ"/>
        </w:rPr>
        <w:t>nich</w:t>
      </w:r>
      <w:r w:rsidR="000D05E1">
        <w:rPr>
          <w:rFonts w:eastAsia="OpenSymbol" w:cs="Times New Roman"/>
          <w:sz w:val="20"/>
          <w:szCs w:val="20"/>
          <w:lang w:val="cs-CZ"/>
        </w:rPr>
        <w:t>.</w:t>
      </w:r>
    </w:p>
    <w:p w:rsidR="000F31B0" w:rsidRPr="00375A49" w:rsidRDefault="000F31B0" w:rsidP="000F31B0">
      <w:pPr>
        <w:contextualSpacing/>
        <w:jc w:val="both"/>
        <w:rPr>
          <w:rFonts w:cs="Times New Roman"/>
          <w:lang w:val="cs-CZ"/>
        </w:rPr>
      </w:pPr>
    </w:p>
    <w:p w:rsidR="000F31B0" w:rsidRPr="00375A49" w:rsidRDefault="000F31B0" w:rsidP="000F31B0">
      <w:pPr>
        <w:contextualSpacing/>
        <w:jc w:val="both"/>
        <w:rPr>
          <w:rFonts w:cs="Times New Roman"/>
          <w:lang w:val="cs-CZ"/>
        </w:rPr>
      </w:pPr>
      <w:r w:rsidRPr="00375A49">
        <w:rPr>
          <w:rFonts w:cs="Times New Roman"/>
          <w:lang w:val="cs-CZ"/>
        </w:rPr>
        <w:t>4.18.2 Genderová rovnováha ve vedoucích pozicích v roce 201</w:t>
      </w:r>
      <w:r w:rsidR="00A7646E">
        <w:rPr>
          <w:rFonts w:cs="Times New Roman"/>
          <w:lang w:val="cs-CZ"/>
        </w:rPr>
        <w:t>8</w:t>
      </w:r>
    </w:p>
    <w:p w:rsidR="000F31B0" w:rsidRPr="00375A49" w:rsidRDefault="000F31B0" w:rsidP="000F31B0">
      <w:pPr>
        <w:contextualSpacing/>
        <w:jc w:val="both"/>
        <w:rPr>
          <w:rFonts w:cs="Times New Roman"/>
          <w:lang w:val="cs-CZ"/>
        </w:rPr>
      </w:pPr>
    </w:p>
    <w:tbl>
      <w:tblPr>
        <w:tblStyle w:val="Mkatabulky"/>
        <w:tblW w:w="9215" w:type="dxa"/>
        <w:jc w:val="center"/>
        <w:tblLook w:val="04A0"/>
      </w:tblPr>
      <w:tblGrid>
        <w:gridCol w:w="6380"/>
        <w:gridCol w:w="945"/>
        <w:gridCol w:w="945"/>
        <w:gridCol w:w="945"/>
      </w:tblGrid>
      <w:tr w:rsidR="000F31B0" w:rsidRPr="00375A49" w:rsidTr="00DC1359">
        <w:trPr>
          <w:jc w:val="center"/>
        </w:trPr>
        <w:tc>
          <w:tcPr>
            <w:tcW w:w="6380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Vedoucí pracovníci</w:t>
            </w:r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Muži</w:t>
            </w:r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Ženy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Celkem</w:t>
            </w:r>
          </w:p>
        </w:tc>
      </w:tr>
      <w:tr w:rsidR="000F31B0" w:rsidRPr="00375A49" w:rsidTr="00DC1359">
        <w:trPr>
          <w:jc w:val="center"/>
        </w:trPr>
        <w:tc>
          <w:tcPr>
            <w:tcW w:w="63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Rektor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u w:val="single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63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Prorektor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u w:val="single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63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Akademický senát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u w:val="single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63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Vědecká/umělecká/akademická rada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u w:val="single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63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Kvestor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u w:val="single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638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lastRenderedPageBreak/>
              <w:t>Správní rada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contextualSpacing/>
              <w:jc w:val="both"/>
              <w:rPr>
                <w:rFonts w:cs="Times New Roman"/>
                <w:b/>
                <w:u w:val="single"/>
              </w:rPr>
            </w:pPr>
          </w:p>
        </w:tc>
      </w:tr>
    </w:tbl>
    <w:p w:rsidR="000F31B0" w:rsidRPr="00375A49" w:rsidRDefault="000F31B0" w:rsidP="000F31B0">
      <w:pPr>
        <w:jc w:val="both"/>
        <w:rPr>
          <w:b/>
          <w:lang w:val="cs-CZ"/>
        </w:rPr>
      </w:pPr>
    </w:p>
    <w:p w:rsidR="00697281" w:rsidRPr="00E92CD4" w:rsidRDefault="000F31B0" w:rsidP="000F31B0">
      <w:pPr>
        <w:ind w:right="-375"/>
        <w:contextualSpacing/>
        <w:jc w:val="both"/>
        <w:rPr>
          <w:rFonts w:eastAsia="OpenSymbol" w:cs="Times New Roman"/>
          <w:sz w:val="20"/>
          <w:szCs w:val="20"/>
          <w:lang w:val="cs-CZ"/>
        </w:rPr>
      </w:pPr>
      <w:r w:rsidRPr="00375A49">
        <w:rPr>
          <w:rFonts w:eastAsia="OpenSymbol" w:cs="Times New Roman"/>
          <w:sz w:val="20"/>
          <w:szCs w:val="20"/>
          <w:lang w:val="cs-CZ"/>
        </w:rPr>
        <w:t xml:space="preserve">Pozn.: </w:t>
      </w:r>
      <w:r w:rsidR="000D05E1" w:rsidRPr="000D05E1">
        <w:rPr>
          <w:rFonts w:eastAsia="OpenSymbol" w:cs="Times New Roman"/>
          <w:sz w:val="20"/>
          <w:szCs w:val="20"/>
          <w:lang w:val="cs-CZ"/>
        </w:rPr>
        <w:t>Pokud jedna osoba v rámci vysoké školy zastává více uvedených pozic, započte se v každé z nich.</w:t>
      </w:r>
    </w:p>
    <w:p w:rsidR="000F31B0" w:rsidRPr="00375A49" w:rsidRDefault="000F31B0" w:rsidP="000F31B0">
      <w:pPr>
        <w:ind w:right="-375"/>
        <w:contextualSpacing/>
        <w:jc w:val="both"/>
        <w:rPr>
          <w:rFonts w:eastAsia="OpenSymbol" w:cs="Times New Roman"/>
          <w:b/>
          <w:lang w:val="cs-CZ"/>
        </w:rPr>
      </w:pPr>
      <w:r w:rsidRPr="00375A49">
        <w:rPr>
          <w:rFonts w:eastAsia="OpenSymbol" w:cs="Times New Roman"/>
          <w:b/>
          <w:lang w:val="cs-CZ"/>
        </w:rPr>
        <w:t>4.19 Struktu</w:t>
      </w:r>
      <w:r w:rsidR="00373BA9">
        <w:rPr>
          <w:rFonts w:eastAsia="OpenSymbol" w:cs="Times New Roman"/>
          <w:b/>
          <w:lang w:val="cs-CZ"/>
        </w:rPr>
        <w:t xml:space="preserve">ra finančních zdrojů </w:t>
      </w:r>
      <w:r w:rsidR="004B3C3A">
        <w:rPr>
          <w:rFonts w:eastAsia="OpenSymbol" w:cs="Times New Roman"/>
          <w:b/>
          <w:lang w:val="cs-CZ"/>
        </w:rPr>
        <w:t>VaVaI</w:t>
      </w:r>
    </w:p>
    <w:p w:rsidR="000F31B0" w:rsidRPr="00375A49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lang w:val="cs-CZ"/>
        </w:rPr>
      </w:pPr>
      <w:r w:rsidRPr="00375A49">
        <w:rPr>
          <w:lang w:val="cs-CZ"/>
        </w:rPr>
        <w:t>4.19.1 P</w:t>
      </w:r>
      <w:r w:rsidR="00103144">
        <w:rPr>
          <w:lang w:val="cs-CZ"/>
        </w:rPr>
        <w:t xml:space="preserve">odíl (v %) </w:t>
      </w:r>
      <w:r w:rsidRPr="00375A49">
        <w:rPr>
          <w:lang w:val="cs-CZ"/>
        </w:rPr>
        <w:t xml:space="preserve">z celkových nákladů/výdajů dle druhu </w:t>
      </w:r>
      <w:r w:rsidR="004B3C3A">
        <w:rPr>
          <w:lang w:val="cs-CZ"/>
        </w:rPr>
        <w:t>VaVaI</w:t>
      </w:r>
      <w:r w:rsidRPr="00375A49">
        <w:rPr>
          <w:lang w:val="cs-CZ"/>
        </w:rPr>
        <w:t xml:space="preserve"> hrazených z</w:t>
      </w:r>
      <w:r w:rsidR="00896FAE">
        <w:rPr>
          <w:lang w:val="cs-CZ"/>
        </w:rPr>
        <w:t> </w:t>
      </w:r>
      <w:r w:rsidRPr="00375A49">
        <w:rPr>
          <w:lang w:val="cs-CZ"/>
        </w:rPr>
        <w:t>veřejných</w:t>
      </w:r>
      <w:r w:rsidR="00896FAE">
        <w:rPr>
          <w:lang w:val="cs-CZ"/>
        </w:rPr>
        <w:t xml:space="preserve"> i neveřejných </w:t>
      </w:r>
      <w:r w:rsidRPr="00375A49">
        <w:rPr>
          <w:lang w:val="cs-CZ"/>
        </w:rPr>
        <w:t>zdrojů</w:t>
      </w:r>
    </w:p>
    <w:p w:rsidR="000F31B0" w:rsidRPr="00375A49" w:rsidRDefault="000F31B0" w:rsidP="000F31B0">
      <w:pPr>
        <w:jc w:val="both"/>
        <w:rPr>
          <w:b/>
          <w:lang w:val="cs-CZ"/>
        </w:rPr>
      </w:pPr>
    </w:p>
    <w:tbl>
      <w:tblPr>
        <w:tblStyle w:val="Mkatabulky"/>
        <w:tblW w:w="9197" w:type="dxa"/>
        <w:shd w:val="clear" w:color="auto" w:fill="F2F2F2" w:themeFill="background1" w:themeFillShade="F2"/>
        <w:tblLayout w:type="fixed"/>
        <w:tblLook w:val="04A0"/>
      </w:tblPr>
      <w:tblGrid>
        <w:gridCol w:w="2084"/>
        <w:gridCol w:w="1060"/>
        <w:gridCol w:w="1060"/>
        <w:gridCol w:w="1061"/>
        <w:gridCol w:w="1060"/>
        <w:gridCol w:w="1061"/>
        <w:gridCol w:w="1811"/>
      </w:tblGrid>
      <w:tr w:rsidR="000F31B0" w:rsidRPr="00375A49" w:rsidTr="00DC1359">
        <w:tc>
          <w:tcPr>
            <w:tcW w:w="208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A7646E">
            <w:pPr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 w:rsidR="00A7646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A7646E">
            <w:pPr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 w:rsidR="00A7646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A7646E">
            <w:pPr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 w:rsidR="00A7646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A7646E">
            <w:pPr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 w:rsidR="00A7646E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A7646E">
            <w:pPr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 w:rsidR="00A7646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Celkem</w:t>
            </w:r>
          </w:p>
        </w:tc>
      </w:tr>
      <w:tr w:rsidR="000F31B0" w:rsidRPr="00375A49" w:rsidTr="00DC1359">
        <w:tc>
          <w:tcPr>
            <w:tcW w:w="208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Základní výzkum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F31B0" w:rsidRPr="00375A49" w:rsidTr="00DC1359">
        <w:tc>
          <w:tcPr>
            <w:tcW w:w="208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Aplikovaný výzkum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F31B0" w:rsidRPr="00D30CCD" w:rsidTr="00DC1359">
        <w:tc>
          <w:tcPr>
            <w:tcW w:w="2084" w:type="dxa"/>
            <w:shd w:val="clear" w:color="auto" w:fill="F2F2F2" w:themeFill="background1" w:themeFillShade="F2"/>
          </w:tcPr>
          <w:p w:rsidR="000F31B0" w:rsidRPr="00D30CCD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  <w:r w:rsidRPr="00D30CCD">
              <w:rPr>
                <w:rFonts w:cs="Times New Roman"/>
                <w:sz w:val="20"/>
                <w:szCs w:val="20"/>
              </w:rPr>
              <w:t>Experimentální vývoj a inovace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:rsidR="000F31B0" w:rsidRPr="00D30CCD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F2F2F2" w:themeFill="background1" w:themeFillShade="F2"/>
          </w:tcPr>
          <w:p w:rsidR="000F31B0" w:rsidRPr="00D30CCD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2F2F2" w:themeFill="background1" w:themeFillShade="F2"/>
          </w:tcPr>
          <w:p w:rsidR="000F31B0" w:rsidRPr="00D30CCD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F2F2F2" w:themeFill="background1" w:themeFillShade="F2"/>
          </w:tcPr>
          <w:p w:rsidR="000F31B0" w:rsidRPr="00D30CCD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2F2F2" w:themeFill="background1" w:themeFillShade="F2"/>
          </w:tcPr>
          <w:p w:rsidR="000F31B0" w:rsidRPr="00D30CCD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2F2F2" w:themeFill="background1" w:themeFillShade="F2"/>
          </w:tcPr>
          <w:p w:rsidR="000F31B0" w:rsidRPr="00D30CCD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F31B0" w:rsidRPr="00D30CCD" w:rsidTr="00DC1359">
        <w:tc>
          <w:tcPr>
            <w:tcW w:w="2084" w:type="dxa"/>
            <w:shd w:val="clear" w:color="auto" w:fill="F2F2F2" w:themeFill="background1" w:themeFillShade="F2"/>
          </w:tcPr>
          <w:p w:rsidR="000F31B0" w:rsidRPr="00D30CCD" w:rsidRDefault="000F31B0" w:rsidP="00DC1359">
            <w:pPr>
              <w:jc w:val="both"/>
              <w:rPr>
                <w:rFonts w:cs="Times New Roman"/>
                <w:sz w:val="20"/>
                <w:szCs w:val="20"/>
              </w:rPr>
            </w:pPr>
            <w:r w:rsidRPr="00D30CCD">
              <w:rPr>
                <w:rFonts w:cs="Times New Roman"/>
                <w:sz w:val="20"/>
                <w:szCs w:val="20"/>
              </w:rPr>
              <w:t>Celkem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:rsidR="000F31B0" w:rsidRPr="00D30CCD" w:rsidRDefault="000D05E1" w:rsidP="00DC1359">
            <w:pPr>
              <w:jc w:val="both"/>
              <w:rPr>
                <w:rFonts w:cs="Times New Roman"/>
                <w:sz w:val="20"/>
                <w:szCs w:val="20"/>
              </w:rPr>
            </w:pPr>
            <w:r w:rsidRPr="00D30CC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:rsidR="000F31B0" w:rsidRPr="00D30CCD" w:rsidRDefault="000D05E1" w:rsidP="00DC1359">
            <w:pPr>
              <w:jc w:val="both"/>
              <w:rPr>
                <w:rFonts w:cs="Times New Roman"/>
                <w:sz w:val="20"/>
                <w:szCs w:val="20"/>
              </w:rPr>
            </w:pPr>
            <w:r w:rsidRPr="00D30CC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61" w:type="dxa"/>
            <w:shd w:val="clear" w:color="auto" w:fill="F2F2F2" w:themeFill="background1" w:themeFillShade="F2"/>
          </w:tcPr>
          <w:p w:rsidR="000F31B0" w:rsidRPr="00D30CCD" w:rsidRDefault="000D05E1" w:rsidP="00DC1359">
            <w:pPr>
              <w:jc w:val="both"/>
              <w:rPr>
                <w:rFonts w:cs="Times New Roman"/>
                <w:sz w:val="20"/>
                <w:szCs w:val="20"/>
              </w:rPr>
            </w:pPr>
            <w:r w:rsidRPr="00D30CC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:rsidR="000F31B0" w:rsidRPr="00D30CCD" w:rsidRDefault="000D05E1" w:rsidP="00DC1359">
            <w:pPr>
              <w:jc w:val="both"/>
              <w:rPr>
                <w:rFonts w:cs="Times New Roman"/>
                <w:sz w:val="20"/>
                <w:szCs w:val="20"/>
              </w:rPr>
            </w:pPr>
            <w:r w:rsidRPr="00D30CC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61" w:type="dxa"/>
            <w:shd w:val="clear" w:color="auto" w:fill="F2F2F2" w:themeFill="background1" w:themeFillShade="F2"/>
          </w:tcPr>
          <w:p w:rsidR="000F31B0" w:rsidRPr="00D30CCD" w:rsidRDefault="000D05E1" w:rsidP="00DC1359">
            <w:pPr>
              <w:jc w:val="both"/>
              <w:rPr>
                <w:rFonts w:cs="Times New Roman"/>
                <w:sz w:val="20"/>
                <w:szCs w:val="20"/>
              </w:rPr>
            </w:pPr>
            <w:r w:rsidRPr="00D30CC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:rsidR="000F31B0" w:rsidRPr="00D30CCD" w:rsidRDefault="000D05E1" w:rsidP="00DC1359">
            <w:pPr>
              <w:jc w:val="both"/>
              <w:rPr>
                <w:rFonts w:cs="Times New Roman"/>
                <w:sz w:val="20"/>
                <w:szCs w:val="20"/>
              </w:rPr>
            </w:pPr>
            <w:r w:rsidRPr="00D30CCD">
              <w:rPr>
                <w:rFonts w:cs="Times New Roman"/>
                <w:sz w:val="20"/>
                <w:szCs w:val="20"/>
              </w:rPr>
              <w:t>100</w:t>
            </w:r>
          </w:p>
        </w:tc>
      </w:tr>
    </w:tbl>
    <w:p w:rsidR="000F31B0" w:rsidRPr="00D30CCD" w:rsidRDefault="000F31B0" w:rsidP="000F31B0">
      <w:pPr>
        <w:widowControl w:val="0"/>
        <w:autoSpaceDE w:val="0"/>
        <w:autoSpaceDN w:val="0"/>
        <w:adjustRightInd w:val="0"/>
        <w:contextualSpacing/>
        <w:jc w:val="both"/>
        <w:rPr>
          <w:rFonts w:eastAsia="OpenSymbol" w:cs="Times New Roman"/>
          <w:b/>
          <w:kern w:val="1"/>
          <w:lang w:val="cs-CZ"/>
        </w:rPr>
      </w:pPr>
    </w:p>
    <w:p w:rsidR="000F31B0" w:rsidRPr="00D30CCD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 w:rsidRPr="00D30CCD">
        <w:rPr>
          <w:rFonts w:cstheme="minorHAnsi"/>
          <w:sz w:val="20"/>
          <w:szCs w:val="20"/>
          <w:lang w:val="cs-CZ"/>
        </w:rPr>
        <w:t xml:space="preserve">Pozn.: </w:t>
      </w:r>
      <w:r w:rsidR="00F11DA3" w:rsidRPr="002461DA">
        <w:rPr>
          <w:rFonts w:cstheme="minorHAnsi"/>
          <w:color w:val="000000" w:themeColor="text1"/>
          <w:sz w:val="20"/>
          <w:szCs w:val="20"/>
          <w:lang w:val="cs-CZ"/>
        </w:rPr>
        <w:t>Dle § 2 zákona č. 130/2002 Sb. se</w:t>
      </w:r>
      <w:r w:rsidR="00F11DA3" w:rsidRPr="00697281">
        <w:rPr>
          <w:rFonts w:cstheme="minorHAnsi"/>
          <w:color w:val="000000" w:themeColor="text1"/>
          <w:sz w:val="20"/>
          <w:szCs w:val="20"/>
          <w:lang w:val="cs-CZ"/>
        </w:rPr>
        <w:t xml:space="preserve"> </w:t>
      </w:r>
      <w:r w:rsidR="00F11DA3">
        <w:rPr>
          <w:rFonts w:cstheme="minorHAnsi"/>
          <w:sz w:val="20"/>
          <w:szCs w:val="20"/>
          <w:lang w:val="cs-CZ"/>
        </w:rPr>
        <w:t>z</w:t>
      </w:r>
      <w:r w:rsidRPr="00D30CCD">
        <w:rPr>
          <w:rFonts w:cstheme="minorHAnsi"/>
          <w:sz w:val="20"/>
          <w:szCs w:val="20"/>
          <w:lang w:val="cs-CZ"/>
        </w:rPr>
        <w:t>ákladním výzkumem rozumí teoretická nebo experimentální práce prováděná zejména za účelem získání nových vědomostí o základních principech jevů nebo pozorovatelných skutečností, která není primárně zaměřena na uplatnění nebo využití v praxi.</w:t>
      </w:r>
    </w:p>
    <w:p w:rsidR="000F31B0" w:rsidRPr="00375A49" w:rsidRDefault="00E92CD4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 xml:space="preserve">            </w:t>
      </w:r>
      <w:r w:rsidR="000F31B0" w:rsidRPr="00375A49">
        <w:rPr>
          <w:rFonts w:cstheme="minorHAnsi"/>
          <w:sz w:val="20"/>
          <w:szCs w:val="20"/>
          <w:lang w:val="cs-CZ"/>
        </w:rPr>
        <w:t>Inovacemi se rozumí zavedení nových nebo podstatně zdokonalených výrobků, postupů nebo služeb do praxe.</w:t>
      </w:r>
    </w:p>
    <w:p w:rsidR="000F31B0" w:rsidRDefault="00E92CD4" w:rsidP="000F31B0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 xml:space="preserve">            </w:t>
      </w:r>
      <w:r w:rsidR="00251CB5" w:rsidRPr="00251CB5">
        <w:rPr>
          <w:rFonts w:cstheme="minorHAnsi"/>
          <w:sz w:val="20"/>
          <w:szCs w:val="20"/>
          <w:lang w:val="cs-CZ"/>
        </w:rPr>
        <w:t>Ostatní def</w:t>
      </w:r>
      <w:r w:rsidR="009C5AAC">
        <w:rPr>
          <w:rFonts w:cstheme="minorHAnsi"/>
          <w:sz w:val="20"/>
          <w:szCs w:val="20"/>
          <w:lang w:val="cs-CZ"/>
        </w:rPr>
        <w:t xml:space="preserve">inice – viz </w:t>
      </w:r>
      <w:r w:rsidR="009C5AAC" w:rsidRPr="009C5AAC">
        <w:rPr>
          <w:rFonts w:cstheme="minorHAnsi"/>
          <w:sz w:val="20"/>
          <w:szCs w:val="20"/>
          <w:lang w:val="cs-CZ"/>
        </w:rPr>
        <w:t>OECD Fields of Research and Development (FRASCATI manuál 2015)</w:t>
      </w:r>
      <w:r w:rsidR="009C5AAC">
        <w:rPr>
          <w:rFonts w:cstheme="minorHAnsi"/>
          <w:sz w:val="20"/>
          <w:szCs w:val="20"/>
          <w:lang w:val="cs-CZ"/>
        </w:rPr>
        <w:t>.</w:t>
      </w:r>
    </w:p>
    <w:p w:rsidR="00251CB5" w:rsidRPr="00251CB5" w:rsidRDefault="00251CB5" w:rsidP="000F31B0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sz w:val="20"/>
          <w:szCs w:val="20"/>
          <w:lang w:val="cs-CZ"/>
        </w:rPr>
      </w:pPr>
    </w:p>
    <w:p w:rsidR="000F31B0" w:rsidRPr="00375A49" w:rsidRDefault="000F31B0" w:rsidP="000F31B0">
      <w:pPr>
        <w:contextualSpacing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4.19.2 Projekty podporované zahraničním poskytovatelem</w:t>
      </w:r>
    </w:p>
    <w:p w:rsidR="000F31B0" w:rsidRPr="00375A49" w:rsidRDefault="000F31B0" w:rsidP="000F31B0">
      <w:pPr>
        <w:spacing w:line="240" w:lineRule="atLeast"/>
        <w:jc w:val="both"/>
        <w:rPr>
          <w:rFonts w:ascii="Times New Roman" w:hAnsi="Times New Roman" w:cs="Times New Roman"/>
          <w:b/>
          <w:u w:val="single"/>
          <w:lang w:val="cs-CZ"/>
        </w:rPr>
      </w:pPr>
    </w:p>
    <w:tbl>
      <w:tblPr>
        <w:tblStyle w:val="Mkatabulky"/>
        <w:tblW w:w="10774" w:type="dxa"/>
        <w:tblInd w:w="-856" w:type="dxa"/>
        <w:shd w:val="clear" w:color="auto" w:fill="F2F2F2" w:themeFill="background1" w:themeFillShade="F2"/>
        <w:tblLayout w:type="fixed"/>
        <w:tblLook w:val="04A0"/>
      </w:tblPr>
      <w:tblGrid>
        <w:gridCol w:w="1277"/>
        <w:gridCol w:w="1701"/>
        <w:gridCol w:w="4252"/>
        <w:gridCol w:w="709"/>
        <w:gridCol w:w="709"/>
        <w:gridCol w:w="708"/>
        <w:gridCol w:w="709"/>
        <w:gridCol w:w="709"/>
      </w:tblGrid>
      <w:tr w:rsidR="000F31B0" w:rsidRPr="00375A49" w:rsidTr="00DC1359">
        <w:tc>
          <w:tcPr>
            <w:tcW w:w="10774" w:type="dxa"/>
            <w:gridSpan w:val="8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 roli příjemce</w:t>
            </w:r>
          </w:p>
        </w:tc>
      </w:tr>
      <w:tr w:rsidR="000F31B0" w:rsidRPr="00375A49" w:rsidTr="00DC1359">
        <w:tc>
          <w:tcPr>
            <w:tcW w:w="1277" w:type="dxa"/>
            <w:vMerge w:val="restart"/>
            <w:shd w:val="clear" w:color="auto" w:fill="F2F2F2" w:themeFill="background1" w:themeFillShade="F2"/>
          </w:tcPr>
          <w:p w:rsidR="000F31B0" w:rsidRPr="00375A49" w:rsidRDefault="000F77B9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Poskytovatel /</w:t>
            </w:r>
            <w:r w:rsidR="000F31B0" w:rsidRPr="00375A49">
              <w:rPr>
                <w:rFonts w:cstheme="minorHAnsi"/>
                <w:sz w:val="20"/>
                <w:szCs w:val="20"/>
              </w:rPr>
              <w:t>Investor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Program/Dotační schéma</w:t>
            </w:r>
          </w:p>
        </w:tc>
        <w:tc>
          <w:tcPr>
            <w:tcW w:w="4252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3544" w:type="dxa"/>
            <w:gridSpan w:val="5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Podpora (v tis. Kč)</w:t>
            </w:r>
          </w:p>
        </w:tc>
      </w:tr>
      <w:tr w:rsidR="00A7646E" w:rsidRPr="00375A49" w:rsidTr="00DC1359">
        <w:tc>
          <w:tcPr>
            <w:tcW w:w="1277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0F31B0" w:rsidRPr="00375A49" w:rsidTr="00DC1359">
        <w:tc>
          <w:tcPr>
            <w:tcW w:w="127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27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7230" w:type="dxa"/>
            <w:gridSpan w:val="3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0774" w:type="dxa"/>
            <w:gridSpan w:val="8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 roli dalšího účastníka</w:t>
            </w:r>
          </w:p>
        </w:tc>
      </w:tr>
      <w:tr w:rsidR="000F31B0" w:rsidRPr="00375A49" w:rsidTr="00DC1359">
        <w:tc>
          <w:tcPr>
            <w:tcW w:w="1277" w:type="dxa"/>
            <w:vMerge w:val="restart"/>
            <w:shd w:val="clear" w:color="auto" w:fill="F2F2F2" w:themeFill="background1" w:themeFillShade="F2"/>
          </w:tcPr>
          <w:p w:rsidR="000F31B0" w:rsidRPr="00375A49" w:rsidRDefault="000F77B9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Poskytovatel/</w:t>
            </w:r>
            <w:r w:rsidR="000F31B0" w:rsidRPr="00375A49">
              <w:rPr>
                <w:rFonts w:cstheme="minorHAnsi"/>
                <w:sz w:val="20"/>
                <w:szCs w:val="20"/>
              </w:rPr>
              <w:t>Investor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Program/Dotační schéma</w:t>
            </w:r>
          </w:p>
        </w:tc>
        <w:tc>
          <w:tcPr>
            <w:tcW w:w="4252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3544" w:type="dxa"/>
            <w:gridSpan w:val="5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Podpora (v tis. Kč)</w:t>
            </w:r>
          </w:p>
        </w:tc>
      </w:tr>
      <w:tr w:rsidR="00A7646E" w:rsidRPr="00375A49" w:rsidTr="00DC1359">
        <w:tc>
          <w:tcPr>
            <w:tcW w:w="1277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0F31B0" w:rsidRPr="00375A49" w:rsidTr="00DC1359">
        <w:tc>
          <w:tcPr>
            <w:tcW w:w="127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27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7230" w:type="dxa"/>
            <w:gridSpan w:val="3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0F31B0" w:rsidRDefault="000F31B0" w:rsidP="000F31B0">
      <w:pPr>
        <w:rPr>
          <w:rFonts w:cstheme="minorHAnsi"/>
          <w:lang w:val="cs-CZ"/>
        </w:rPr>
      </w:pPr>
    </w:p>
    <w:p w:rsidR="00D20A74" w:rsidRDefault="006A4AD9" w:rsidP="00D20A74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 w:rsidRPr="00375A49">
        <w:rPr>
          <w:rFonts w:cs="Times New Roman"/>
          <w:sz w:val="20"/>
          <w:szCs w:val="20"/>
          <w:lang w:val="cs-CZ"/>
        </w:rPr>
        <w:t>Pozn.:</w:t>
      </w:r>
      <w:r w:rsidR="00D20A74" w:rsidRPr="00375A49">
        <w:rPr>
          <w:rFonts w:cs="Times New Roman"/>
          <w:sz w:val="20"/>
          <w:szCs w:val="20"/>
          <w:lang w:val="cs-CZ"/>
        </w:rPr>
        <w:t xml:space="preserve"> </w:t>
      </w:r>
      <w:r w:rsidR="00D20A74">
        <w:rPr>
          <w:rFonts w:cstheme="minorHAnsi"/>
          <w:sz w:val="20"/>
          <w:szCs w:val="20"/>
          <w:lang w:val="cs-CZ"/>
        </w:rPr>
        <w:t xml:space="preserve">Uveďte jednotlivě </w:t>
      </w:r>
      <w:r w:rsidR="00D20A74" w:rsidRPr="00CB457F">
        <w:rPr>
          <w:rFonts w:cstheme="minorHAnsi"/>
          <w:sz w:val="20"/>
          <w:szCs w:val="20"/>
          <w:lang w:val="cs-CZ"/>
        </w:rPr>
        <w:t>konsorciální projekty financované z rámcových programů EU</w:t>
      </w:r>
      <w:r w:rsidR="00D20A74" w:rsidRPr="00375A49">
        <w:rPr>
          <w:i/>
          <w:lang w:val="cs-CZ"/>
        </w:rPr>
        <w:t xml:space="preserve"> (</w:t>
      </w:r>
      <w:r w:rsidR="00D20A74" w:rsidRPr="001F4F08">
        <w:rPr>
          <w:i/>
          <w:sz w:val="20"/>
          <w:szCs w:val="20"/>
          <w:lang w:val="cs-CZ"/>
        </w:rPr>
        <w:t>7. RP</w:t>
      </w:r>
      <w:r w:rsidR="00D20A74" w:rsidRPr="00375A49">
        <w:rPr>
          <w:i/>
          <w:vertAlign w:val="superscript"/>
          <w:lang w:val="cs-CZ"/>
        </w:rPr>
        <w:footnoteReference w:id="12"/>
      </w:r>
      <w:r w:rsidR="00D20A74">
        <w:rPr>
          <w:i/>
          <w:lang w:val="cs-CZ"/>
        </w:rPr>
        <w:t>,</w:t>
      </w:r>
      <w:r w:rsidR="00D20A74" w:rsidRPr="00375A49">
        <w:rPr>
          <w:i/>
          <w:lang w:val="cs-CZ"/>
        </w:rPr>
        <w:t xml:space="preserve"> </w:t>
      </w:r>
      <w:r w:rsidR="00D20A74" w:rsidRPr="00CB457F">
        <w:rPr>
          <w:rFonts w:cstheme="minorHAnsi"/>
          <w:sz w:val="20"/>
          <w:szCs w:val="20"/>
          <w:lang w:val="cs-CZ"/>
        </w:rPr>
        <w:t>Horizont 2020</w:t>
      </w:r>
      <w:r w:rsidR="00D20A74" w:rsidRPr="00CB457F">
        <w:rPr>
          <w:i/>
          <w:vertAlign w:val="superscript"/>
          <w:lang w:val="cs-CZ"/>
        </w:rPr>
        <w:footnoteReference w:id="13"/>
      </w:r>
      <w:r w:rsidR="00D20A74" w:rsidRPr="00CB457F">
        <w:rPr>
          <w:rFonts w:cstheme="minorHAnsi"/>
          <w:sz w:val="20"/>
          <w:szCs w:val="20"/>
          <w:lang w:val="cs-CZ"/>
        </w:rPr>
        <w:t xml:space="preserve"> - mimo ERC</w:t>
      </w:r>
      <w:r w:rsidR="00D20A74" w:rsidRPr="00CB457F">
        <w:rPr>
          <w:i/>
          <w:vertAlign w:val="superscript"/>
          <w:lang w:val="cs-CZ"/>
        </w:rPr>
        <w:t xml:space="preserve"> </w:t>
      </w:r>
      <w:r w:rsidR="00D20A74" w:rsidRPr="00CB457F">
        <w:rPr>
          <w:rFonts w:cstheme="minorHAnsi"/>
          <w:sz w:val="20"/>
          <w:szCs w:val="20"/>
          <w:lang w:val="cs-CZ"/>
        </w:rPr>
        <w:t>a MSCA</w:t>
      </w:r>
      <w:r w:rsidR="00D20A74">
        <w:rPr>
          <w:rFonts w:cstheme="minorHAnsi"/>
          <w:sz w:val="20"/>
          <w:szCs w:val="20"/>
          <w:lang w:val="cs-CZ"/>
        </w:rPr>
        <w:t xml:space="preserve">, </w:t>
      </w:r>
      <w:r w:rsidR="00D20A74" w:rsidRPr="00CB457F">
        <w:rPr>
          <w:rFonts w:cstheme="minorHAnsi"/>
          <w:sz w:val="20"/>
          <w:szCs w:val="20"/>
          <w:lang w:val="cs-CZ"/>
        </w:rPr>
        <w:t>9. RP</w:t>
      </w:r>
      <w:r w:rsidR="00D20A74" w:rsidRPr="00CB457F">
        <w:rPr>
          <w:i/>
          <w:vertAlign w:val="superscript"/>
          <w:lang w:val="cs-CZ"/>
        </w:rPr>
        <w:footnoteReference w:id="14"/>
      </w:r>
      <w:r w:rsidR="00D20A74" w:rsidRPr="00CB457F">
        <w:rPr>
          <w:i/>
          <w:vertAlign w:val="superscript"/>
          <w:lang w:val="cs-CZ"/>
        </w:rPr>
        <w:t xml:space="preserve"> </w:t>
      </w:r>
      <w:r w:rsidR="00D20A74" w:rsidRPr="00CB457F">
        <w:rPr>
          <w:rFonts w:cstheme="minorHAnsi"/>
          <w:sz w:val="20"/>
          <w:szCs w:val="20"/>
          <w:lang w:val="cs-CZ"/>
        </w:rPr>
        <w:t xml:space="preserve">atd.) a jejich finanční objem </w:t>
      </w:r>
      <w:r w:rsidR="00D20A74">
        <w:rPr>
          <w:rFonts w:cstheme="minorHAnsi"/>
          <w:sz w:val="20"/>
          <w:szCs w:val="20"/>
          <w:lang w:val="cs-CZ"/>
        </w:rPr>
        <w:t>vyjádřený v Kč</w:t>
      </w:r>
      <w:r w:rsidR="00D20A74" w:rsidRPr="00CB457F">
        <w:rPr>
          <w:rFonts w:cstheme="minorHAnsi"/>
          <w:sz w:val="20"/>
          <w:szCs w:val="20"/>
          <w:lang w:val="cs-CZ"/>
        </w:rPr>
        <w:t xml:space="preserve"> (u spoluřešitelských projektů uvádě</w:t>
      </w:r>
      <w:r w:rsidR="00D15BE3">
        <w:rPr>
          <w:rFonts w:cstheme="minorHAnsi"/>
          <w:sz w:val="20"/>
          <w:szCs w:val="20"/>
          <w:lang w:val="cs-CZ"/>
        </w:rPr>
        <w:t>j</w:t>
      </w:r>
      <w:r w:rsidR="00D20A74" w:rsidRPr="00CB457F">
        <w:rPr>
          <w:rFonts w:cstheme="minorHAnsi"/>
          <w:sz w:val="20"/>
          <w:szCs w:val="20"/>
          <w:lang w:val="cs-CZ"/>
        </w:rPr>
        <w:t>t</w:t>
      </w:r>
      <w:r w:rsidR="00D15BE3">
        <w:rPr>
          <w:rFonts w:cstheme="minorHAnsi"/>
          <w:sz w:val="20"/>
          <w:szCs w:val="20"/>
          <w:lang w:val="cs-CZ"/>
        </w:rPr>
        <w:t>e</w:t>
      </w:r>
      <w:r w:rsidR="00D20A74" w:rsidRPr="00CB457F">
        <w:rPr>
          <w:rFonts w:cstheme="minorHAnsi"/>
          <w:sz w:val="20"/>
          <w:szCs w:val="20"/>
          <w:lang w:val="cs-CZ"/>
        </w:rPr>
        <w:t xml:space="preserve"> finanční objemy pro danou vysokou školu),</w:t>
      </w:r>
      <w:r w:rsidR="00D20A74">
        <w:rPr>
          <w:rFonts w:cstheme="minorHAnsi"/>
          <w:sz w:val="20"/>
          <w:szCs w:val="20"/>
          <w:lang w:val="cs-CZ"/>
        </w:rPr>
        <w:t xml:space="preserve"> pr</w:t>
      </w:r>
      <w:r w:rsidR="00D20A74" w:rsidRPr="00CB457F">
        <w:rPr>
          <w:rFonts w:cstheme="minorHAnsi"/>
          <w:sz w:val="20"/>
          <w:szCs w:val="20"/>
          <w:lang w:val="cs-CZ"/>
        </w:rPr>
        <w:t>estižní individuální projekty (ERC, MSCA, HHMI, HFSP atd.) a jejich finanční objem v eurech (pro tuto kategorii projektů lze uvést doplňující informace dle zvážení vysoké školy, např. odborné zaměření, ostatní účastníci projektu, případně další vhodné informace),</w:t>
      </w:r>
      <w:r w:rsidR="00D20A74">
        <w:rPr>
          <w:rFonts w:cstheme="minorHAnsi"/>
          <w:sz w:val="20"/>
          <w:szCs w:val="20"/>
          <w:lang w:val="cs-CZ"/>
        </w:rPr>
        <w:t xml:space="preserve"> </w:t>
      </w:r>
      <w:r w:rsidR="00D20A74" w:rsidRPr="00CB457F">
        <w:rPr>
          <w:rFonts w:cstheme="minorHAnsi"/>
          <w:sz w:val="20"/>
          <w:szCs w:val="20"/>
          <w:lang w:val="cs-CZ"/>
        </w:rPr>
        <w:t xml:space="preserve">ostatní konsorciální zahraniční projekty a jejich finanční objem </w:t>
      </w:r>
      <w:r w:rsidR="00D20A74">
        <w:rPr>
          <w:rFonts w:cstheme="minorHAnsi"/>
          <w:sz w:val="20"/>
          <w:szCs w:val="20"/>
          <w:lang w:val="cs-CZ"/>
        </w:rPr>
        <w:t>vyjádřený v Kč</w:t>
      </w:r>
      <w:r w:rsidR="00D20A74" w:rsidRPr="00CB457F">
        <w:rPr>
          <w:rFonts w:cstheme="minorHAnsi"/>
          <w:sz w:val="20"/>
          <w:szCs w:val="20"/>
          <w:lang w:val="cs-CZ"/>
        </w:rPr>
        <w:t xml:space="preserve"> (HHMI, NIH</w:t>
      </w:r>
      <w:r w:rsidR="00D20A74" w:rsidRPr="00CB457F">
        <w:rPr>
          <w:rFonts w:cstheme="minorHAnsi"/>
          <w:sz w:val="20"/>
          <w:szCs w:val="20"/>
          <w:vertAlign w:val="superscript"/>
          <w:lang w:val="cs-CZ"/>
        </w:rPr>
        <w:footnoteReference w:id="15"/>
      </w:r>
      <w:r w:rsidR="00D20A74">
        <w:rPr>
          <w:rFonts w:cstheme="minorHAnsi"/>
          <w:sz w:val="20"/>
          <w:szCs w:val="20"/>
          <w:vertAlign w:val="superscript"/>
          <w:lang w:val="cs-CZ"/>
        </w:rPr>
        <w:t xml:space="preserve"> </w:t>
      </w:r>
      <w:r w:rsidR="00D20A74">
        <w:rPr>
          <w:rFonts w:cstheme="minorHAnsi"/>
          <w:sz w:val="20"/>
          <w:szCs w:val="20"/>
          <w:lang w:val="cs-CZ"/>
        </w:rPr>
        <w:t xml:space="preserve">, </w:t>
      </w:r>
      <w:r w:rsidR="00D20A74" w:rsidRPr="00CB457F">
        <w:rPr>
          <w:rFonts w:cstheme="minorHAnsi"/>
          <w:sz w:val="20"/>
          <w:szCs w:val="20"/>
          <w:lang w:val="cs-CZ"/>
        </w:rPr>
        <w:t>Wellcome Trust</w:t>
      </w:r>
      <w:r w:rsidR="00D20A74" w:rsidRPr="00CB457F">
        <w:rPr>
          <w:rFonts w:cstheme="minorHAnsi"/>
          <w:sz w:val="20"/>
          <w:szCs w:val="20"/>
          <w:vertAlign w:val="superscript"/>
          <w:lang w:val="cs-CZ"/>
        </w:rPr>
        <w:footnoteReference w:id="16"/>
      </w:r>
      <w:r w:rsidR="00D20A74" w:rsidRPr="00CB457F">
        <w:rPr>
          <w:rFonts w:cstheme="minorHAnsi"/>
          <w:sz w:val="20"/>
          <w:szCs w:val="20"/>
          <w:lang w:val="cs-CZ"/>
        </w:rPr>
        <w:t xml:space="preserve"> atd.</w:t>
      </w:r>
      <w:r w:rsidR="008C408A">
        <w:rPr>
          <w:rFonts w:cstheme="minorHAnsi"/>
          <w:sz w:val="20"/>
          <w:szCs w:val="20"/>
          <w:lang w:val="cs-CZ"/>
        </w:rPr>
        <w:t>).</w:t>
      </w:r>
    </w:p>
    <w:p w:rsidR="00D20A74" w:rsidRPr="00CB457F" w:rsidRDefault="00D20A74" w:rsidP="00D20A74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lastRenderedPageBreak/>
        <w:t>U</w:t>
      </w:r>
      <w:r w:rsidRPr="00CB457F">
        <w:rPr>
          <w:rFonts w:cstheme="minorHAnsi"/>
          <w:sz w:val="20"/>
          <w:szCs w:val="20"/>
          <w:lang w:val="cs-CZ"/>
        </w:rPr>
        <w:t xml:space="preserve"> spoluřešitelských projektů uvádě</w:t>
      </w:r>
      <w:r>
        <w:rPr>
          <w:rFonts w:cstheme="minorHAnsi"/>
          <w:sz w:val="20"/>
          <w:szCs w:val="20"/>
          <w:lang w:val="cs-CZ"/>
        </w:rPr>
        <w:t>j</w:t>
      </w:r>
      <w:r w:rsidRPr="00CB457F">
        <w:rPr>
          <w:rFonts w:cstheme="minorHAnsi"/>
          <w:sz w:val="20"/>
          <w:szCs w:val="20"/>
          <w:lang w:val="cs-CZ"/>
        </w:rPr>
        <w:t>t</w:t>
      </w:r>
      <w:r>
        <w:rPr>
          <w:rFonts w:cstheme="minorHAnsi"/>
          <w:sz w:val="20"/>
          <w:szCs w:val="20"/>
          <w:lang w:val="cs-CZ"/>
        </w:rPr>
        <w:t>e pouze</w:t>
      </w:r>
      <w:r w:rsidRPr="00CB457F">
        <w:rPr>
          <w:rFonts w:cstheme="minorHAnsi"/>
          <w:sz w:val="20"/>
          <w:szCs w:val="20"/>
          <w:lang w:val="cs-CZ"/>
        </w:rPr>
        <w:t xml:space="preserve"> finanční objemy </w:t>
      </w:r>
      <w:r>
        <w:rPr>
          <w:rFonts w:cstheme="minorHAnsi"/>
          <w:sz w:val="20"/>
          <w:szCs w:val="20"/>
          <w:lang w:val="cs-CZ"/>
        </w:rPr>
        <w:t xml:space="preserve">prostředků </w:t>
      </w:r>
      <w:r w:rsidRPr="00CB457F">
        <w:rPr>
          <w:rFonts w:cstheme="minorHAnsi"/>
          <w:sz w:val="20"/>
          <w:szCs w:val="20"/>
          <w:lang w:val="cs-CZ"/>
        </w:rPr>
        <w:t>pro danou vysokou školu.</w:t>
      </w:r>
    </w:p>
    <w:p w:rsidR="006A4AD9" w:rsidRPr="00375A49" w:rsidRDefault="006A4AD9" w:rsidP="006A4AD9">
      <w:pPr>
        <w:contextualSpacing/>
        <w:jc w:val="both"/>
        <w:rPr>
          <w:rFonts w:cs="Times New Roman"/>
          <w:sz w:val="20"/>
          <w:szCs w:val="20"/>
          <w:lang w:val="cs-CZ"/>
        </w:rPr>
      </w:pPr>
    </w:p>
    <w:p w:rsidR="006A4AD9" w:rsidRDefault="006A4AD9" w:rsidP="000F31B0">
      <w:pPr>
        <w:rPr>
          <w:rFonts w:cstheme="minorHAnsi"/>
          <w:lang w:val="cs-CZ"/>
        </w:rPr>
      </w:pPr>
    </w:p>
    <w:p w:rsidR="000F31B0" w:rsidRPr="00375A49" w:rsidRDefault="000F31B0" w:rsidP="000F31B0">
      <w:pPr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4.19.3 Projekty podporované poskytovatelem z ČR</w:t>
      </w:r>
    </w:p>
    <w:p w:rsidR="000F31B0" w:rsidRPr="00375A49" w:rsidRDefault="000F31B0" w:rsidP="000F31B0">
      <w:pPr>
        <w:spacing w:line="240" w:lineRule="atLeast"/>
        <w:jc w:val="both"/>
        <w:rPr>
          <w:rFonts w:ascii="Times New Roman" w:hAnsi="Times New Roman" w:cs="Times New Roman"/>
          <w:b/>
          <w:u w:val="single"/>
          <w:lang w:val="cs-CZ"/>
        </w:rPr>
      </w:pPr>
    </w:p>
    <w:tbl>
      <w:tblPr>
        <w:tblStyle w:val="Mkatabulky"/>
        <w:tblW w:w="10774" w:type="dxa"/>
        <w:tblInd w:w="-856" w:type="dxa"/>
        <w:shd w:val="clear" w:color="auto" w:fill="F2F2F2" w:themeFill="background1" w:themeFillShade="F2"/>
        <w:tblLayout w:type="fixed"/>
        <w:tblLook w:val="04A0"/>
      </w:tblPr>
      <w:tblGrid>
        <w:gridCol w:w="1277"/>
        <w:gridCol w:w="1701"/>
        <w:gridCol w:w="4252"/>
        <w:gridCol w:w="709"/>
        <w:gridCol w:w="709"/>
        <w:gridCol w:w="708"/>
        <w:gridCol w:w="709"/>
        <w:gridCol w:w="709"/>
      </w:tblGrid>
      <w:tr w:rsidR="000F31B0" w:rsidRPr="00375A49" w:rsidTr="00DC1359">
        <w:tc>
          <w:tcPr>
            <w:tcW w:w="10774" w:type="dxa"/>
            <w:gridSpan w:val="8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 roli příjemce</w:t>
            </w:r>
          </w:p>
        </w:tc>
      </w:tr>
      <w:tr w:rsidR="000F31B0" w:rsidRPr="00375A49" w:rsidTr="00DC1359">
        <w:tc>
          <w:tcPr>
            <w:tcW w:w="1277" w:type="dxa"/>
            <w:vMerge w:val="restart"/>
            <w:shd w:val="clear" w:color="auto" w:fill="F2F2F2" w:themeFill="background1" w:themeFillShade="F2"/>
          </w:tcPr>
          <w:p w:rsidR="000F31B0" w:rsidRPr="00375A49" w:rsidRDefault="000F77B9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Poskytovatel /</w:t>
            </w:r>
            <w:r w:rsidR="000F31B0" w:rsidRPr="00375A49">
              <w:rPr>
                <w:rFonts w:cstheme="minorHAnsi"/>
                <w:sz w:val="20"/>
                <w:szCs w:val="20"/>
              </w:rPr>
              <w:t>Investor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Program/Dotační schéma</w:t>
            </w:r>
          </w:p>
        </w:tc>
        <w:tc>
          <w:tcPr>
            <w:tcW w:w="4252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3544" w:type="dxa"/>
            <w:gridSpan w:val="5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Podpora (v tis. Kč)</w:t>
            </w:r>
          </w:p>
        </w:tc>
      </w:tr>
      <w:tr w:rsidR="00A7646E" w:rsidRPr="00375A49" w:rsidTr="00DC1359">
        <w:tc>
          <w:tcPr>
            <w:tcW w:w="1277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0F31B0" w:rsidRPr="00375A49" w:rsidTr="00DC1359">
        <w:tc>
          <w:tcPr>
            <w:tcW w:w="127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27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7230" w:type="dxa"/>
            <w:gridSpan w:val="3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0774" w:type="dxa"/>
            <w:gridSpan w:val="8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 roli dalšího účastníka</w:t>
            </w:r>
          </w:p>
        </w:tc>
      </w:tr>
      <w:tr w:rsidR="000F31B0" w:rsidRPr="00375A49" w:rsidTr="00DC1359">
        <w:tc>
          <w:tcPr>
            <w:tcW w:w="1277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Poskytovatel/ Investor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Program/Dotační schéma</w:t>
            </w:r>
          </w:p>
        </w:tc>
        <w:tc>
          <w:tcPr>
            <w:tcW w:w="4252" w:type="dxa"/>
            <w:vMerge w:val="restart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3544" w:type="dxa"/>
            <w:gridSpan w:val="5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Podpora (v tis. Kč)</w:t>
            </w:r>
          </w:p>
        </w:tc>
      </w:tr>
      <w:tr w:rsidR="00A7646E" w:rsidRPr="00375A49" w:rsidTr="00DC1359">
        <w:tc>
          <w:tcPr>
            <w:tcW w:w="1277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0F31B0" w:rsidRPr="00375A49" w:rsidTr="00DC1359">
        <w:tc>
          <w:tcPr>
            <w:tcW w:w="127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1277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0F31B0" w:rsidRPr="00375A49" w:rsidTr="00DC1359">
        <w:tc>
          <w:tcPr>
            <w:tcW w:w="7230" w:type="dxa"/>
            <w:gridSpan w:val="3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0F31B0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1A6F8B" w:rsidRPr="00834A40" w:rsidRDefault="006A4AD9" w:rsidP="001A6F8B">
      <w:pPr>
        <w:jc w:val="both"/>
        <w:rPr>
          <w:rFonts w:cstheme="minorHAnsi"/>
          <w:sz w:val="20"/>
          <w:szCs w:val="20"/>
          <w:lang w:val="cs-CZ"/>
        </w:rPr>
      </w:pPr>
      <w:r w:rsidRPr="00375A49">
        <w:rPr>
          <w:rFonts w:cs="Times New Roman"/>
          <w:sz w:val="20"/>
          <w:szCs w:val="20"/>
          <w:lang w:val="cs-CZ"/>
        </w:rPr>
        <w:t>Pozn.:</w:t>
      </w:r>
      <w:r w:rsidR="001A6F8B" w:rsidRPr="00834A40">
        <w:rPr>
          <w:rFonts w:cstheme="minorHAnsi"/>
          <w:sz w:val="20"/>
          <w:szCs w:val="20"/>
          <w:lang w:val="cs-CZ"/>
        </w:rPr>
        <w:t xml:space="preserve"> </w:t>
      </w:r>
      <w:r w:rsidR="001A6F8B">
        <w:rPr>
          <w:rFonts w:cstheme="minorHAnsi"/>
          <w:sz w:val="20"/>
          <w:szCs w:val="20"/>
          <w:lang w:val="cs-CZ"/>
        </w:rPr>
        <w:t>Uveďte</w:t>
      </w:r>
      <w:r w:rsidR="001A6F8B" w:rsidRPr="00834A40">
        <w:rPr>
          <w:rFonts w:cstheme="minorHAnsi"/>
          <w:sz w:val="20"/>
          <w:szCs w:val="20"/>
          <w:lang w:val="cs-CZ"/>
        </w:rPr>
        <w:t xml:space="preserve"> sumárně projekty GA ČR a jejich finanční objem v Kč,</w:t>
      </w:r>
      <w:r w:rsidR="001A6F8B">
        <w:rPr>
          <w:rFonts w:cstheme="minorHAnsi"/>
          <w:sz w:val="20"/>
          <w:szCs w:val="20"/>
          <w:lang w:val="cs-CZ"/>
        </w:rPr>
        <w:t xml:space="preserve"> </w:t>
      </w:r>
      <w:r w:rsidR="001A6F8B" w:rsidRPr="00834A40">
        <w:rPr>
          <w:rFonts w:cstheme="minorHAnsi"/>
          <w:sz w:val="20"/>
          <w:szCs w:val="20"/>
          <w:lang w:val="cs-CZ"/>
        </w:rPr>
        <w:t>sumárně projekty TA ČR a jejich finanční objem v Kč,</w:t>
      </w:r>
      <w:r w:rsidR="001A6F8B">
        <w:rPr>
          <w:rFonts w:cstheme="minorHAnsi"/>
          <w:sz w:val="20"/>
          <w:szCs w:val="20"/>
          <w:lang w:val="cs-CZ"/>
        </w:rPr>
        <w:t xml:space="preserve"> </w:t>
      </w:r>
      <w:r w:rsidR="001A6F8B" w:rsidRPr="00834A40">
        <w:rPr>
          <w:rFonts w:cstheme="minorHAnsi"/>
          <w:sz w:val="20"/>
          <w:szCs w:val="20"/>
          <w:lang w:val="cs-CZ"/>
        </w:rPr>
        <w:t>sumárně další projekty resortní a jejich finanční objem v</w:t>
      </w:r>
      <w:r w:rsidR="001A6F8B">
        <w:rPr>
          <w:rFonts w:cstheme="minorHAnsi"/>
          <w:sz w:val="20"/>
          <w:szCs w:val="20"/>
          <w:lang w:val="cs-CZ"/>
        </w:rPr>
        <w:t> </w:t>
      </w:r>
      <w:r w:rsidR="001A6F8B" w:rsidRPr="00834A40">
        <w:rPr>
          <w:rFonts w:cstheme="minorHAnsi"/>
          <w:sz w:val="20"/>
          <w:szCs w:val="20"/>
          <w:lang w:val="cs-CZ"/>
        </w:rPr>
        <w:t>Kč</w:t>
      </w:r>
      <w:r w:rsidR="001A6F8B">
        <w:rPr>
          <w:rFonts w:cstheme="minorHAnsi"/>
          <w:sz w:val="20"/>
          <w:szCs w:val="20"/>
          <w:lang w:val="cs-CZ"/>
        </w:rPr>
        <w:t>. U</w:t>
      </w:r>
      <w:r w:rsidR="001A6F8B" w:rsidRPr="00834A40">
        <w:rPr>
          <w:rFonts w:cstheme="minorHAnsi"/>
          <w:sz w:val="20"/>
          <w:szCs w:val="20"/>
          <w:lang w:val="cs-CZ"/>
        </w:rPr>
        <w:t xml:space="preserve"> spoluřešitelských projektů uvádě</w:t>
      </w:r>
      <w:r w:rsidR="00D15BE3">
        <w:rPr>
          <w:rFonts w:cstheme="minorHAnsi"/>
          <w:sz w:val="20"/>
          <w:szCs w:val="20"/>
          <w:lang w:val="cs-CZ"/>
        </w:rPr>
        <w:t>j</w:t>
      </w:r>
      <w:r w:rsidR="001A6F8B" w:rsidRPr="00834A40">
        <w:rPr>
          <w:rFonts w:cstheme="minorHAnsi"/>
          <w:sz w:val="20"/>
          <w:szCs w:val="20"/>
          <w:lang w:val="cs-CZ"/>
        </w:rPr>
        <w:t>t</w:t>
      </w:r>
      <w:r w:rsidR="00D15BE3">
        <w:rPr>
          <w:rFonts w:cstheme="minorHAnsi"/>
          <w:sz w:val="20"/>
          <w:szCs w:val="20"/>
          <w:lang w:val="cs-CZ"/>
        </w:rPr>
        <w:t>e</w:t>
      </w:r>
      <w:r w:rsidR="001A6F8B" w:rsidRPr="00834A40">
        <w:rPr>
          <w:rFonts w:cstheme="minorHAnsi"/>
          <w:sz w:val="20"/>
          <w:szCs w:val="20"/>
          <w:lang w:val="cs-CZ"/>
        </w:rPr>
        <w:t xml:space="preserve"> finanční objemy pro danou vysokou školu).</w:t>
      </w:r>
    </w:p>
    <w:p w:rsidR="001A6F8B" w:rsidRDefault="001A6F8B" w:rsidP="001A6F8B">
      <w:pPr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 xml:space="preserve">Dále uveďte </w:t>
      </w:r>
      <w:r w:rsidRPr="00834A40">
        <w:rPr>
          <w:rFonts w:cstheme="minorHAnsi"/>
          <w:sz w:val="20"/>
          <w:szCs w:val="20"/>
          <w:u w:val="single"/>
          <w:lang w:val="cs-CZ"/>
        </w:rPr>
        <w:t>jednotlivě</w:t>
      </w:r>
      <w:r w:rsidRPr="00834A40">
        <w:rPr>
          <w:rFonts w:cstheme="minorHAnsi"/>
          <w:sz w:val="20"/>
          <w:szCs w:val="20"/>
          <w:lang w:val="cs-CZ"/>
        </w:rPr>
        <w:t xml:space="preserve"> projekty financované ze strukturálních fondů EU a zaměřené </w:t>
      </w:r>
      <w:r w:rsidR="00CE7277">
        <w:rPr>
          <w:rFonts w:cstheme="minorHAnsi"/>
          <w:sz w:val="20"/>
          <w:szCs w:val="20"/>
          <w:lang w:val="cs-CZ"/>
        </w:rPr>
        <w:t>výhradně na VaVaI (např. OP VVV</w:t>
      </w:r>
      <w:r w:rsidR="00CE7277">
        <w:rPr>
          <w:rStyle w:val="Znakapoznpodarou"/>
          <w:rFonts w:cstheme="minorHAnsi"/>
          <w:sz w:val="20"/>
          <w:szCs w:val="20"/>
          <w:lang w:val="cs-CZ"/>
        </w:rPr>
        <w:footnoteReference w:id="17"/>
      </w:r>
      <w:r w:rsidRPr="00834A40">
        <w:rPr>
          <w:rFonts w:cstheme="minorHAnsi"/>
          <w:sz w:val="20"/>
          <w:szCs w:val="20"/>
          <w:lang w:val="cs-CZ"/>
        </w:rPr>
        <w:t xml:space="preserve"> OP PIK</w:t>
      </w:r>
      <w:r w:rsidR="00CE7277">
        <w:rPr>
          <w:rStyle w:val="Znakapoznpodarou"/>
          <w:rFonts w:cstheme="minorHAnsi"/>
          <w:sz w:val="20"/>
          <w:szCs w:val="20"/>
          <w:lang w:val="cs-CZ"/>
        </w:rPr>
        <w:footnoteReference w:id="18"/>
      </w:r>
      <w:r w:rsidRPr="00834A40">
        <w:rPr>
          <w:rFonts w:cstheme="minorHAnsi"/>
          <w:sz w:val="20"/>
          <w:szCs w:val="20"/>
          <w:lang w:val="cs-CZ"/>
        </w:rPr>
        <w:t>) a jejich finanční objem v</w:t>
      </w:r>
      <w:r>
        <w:rPr>
          <w:rFonts w:cstheme="minorHAnsi"/>
          <w:sz w:val="20"/>
          <w:szCs w:val="20"/>
          <w:lang w:val="cs-CZ"/>
        </w:rPr>
        <w:t> </w:t>
      </w:r>
      <w:r w:rsidRPr="00834A40">
        <w:rPr>
          <w:rFonts w:cstheme="minorHAnsi"/>
          <w:sz w:val="20"/>
          <w:szCs w:val="20"/>
          <w:lang w:val="cs-CZ"/>
        </w:rPr>
        <w:t>Kč,</w:t>
      </w:r>
    </w:p>
    <w:p w:rsidR="006A4AD9" w:rsidRPr="00927B88" w:rsidRDefault="001A6F8B" w:rsidP="006A4AD9">
      <w:pPr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 xml:space="preserve"> a </w:t>
      </w:r>
      <w:r w:rsidRPr="00834A40">
        <w:rPr>
          <w:rFonts w:cstheme="minorHAnsi"/>
          <w:sz w:val="20"/>
          <w:szCs w:val="20"/>
          <w:u w:val="single"/>
          <w:lang w:val="cs-CZ"/>
        </w:rPr>
        <w:t>jednotlivě</w:t>
      </w:r>
      <w:r w:rsidRPr="00834A40">
        <w:rPr>
          <w:rFonts w:cstheme="minorHAnsi"/>
          <w:sz w:val="20"/>
          <w:szCs w:val="20"/>
          <w:lang w:val="cs-CZ"/>
        </w:rPr>
        <w:t xml:space="preserve"> projekty financované z regionálních zdrojů zaměřené výhradně na VaVaI a jejich finanční objem v Kč</w:t>
      </w:r>
      <w:r>
        <w:rPr>
          <w:rFonts w:cstheme="minorHAnsi"/>
          <w:sz w:val="20"/>
          <w:szCs w:val="20"/>
          <w:lang w:val="cs-CZ"/>
        </w:rPr>
        <w:t>. U</w:t>
      </w:r>
      <w:r w:rsidRPr="00834A40">
        <w:rPr>
          <w:rFonts w:cstheme="minorHAnsi"/>
          <w:sz w:val="20"/>
          <w:szCs w:val="20"/>
          <w:lang w:val="cs-CZ"/>
        </w:rPr>
        <w:t xml:space="preserve"> spoluřešitelských projektů uvádě</w:t>
      </w:r>
      <w:r>
        <w:rPr>
          <w:rFonts w:cstheme="minorHAnsi"/>
          <w:sz w:val="20"/>
          <w:szCs w:val="20"/>
          <w:lang w:val="cs-CZ"/>
        </w:rPr>
        <w:t>j</w:t>
      </w:r>
      <w:r w:rsidRPr="00834A40">
        <w:rPr>
          <w:rFonts w:cstheme="minorHAnsi"/>
          <w:sz w:val="20"/>
          <w:szCs w:val="20"/>
          <w:lang w:val="cs-CZ"/>
        </w:rPr>
        <w:t>t</w:t>
      </w:r>
      <w:r>
        <w:rPr>
          <w:rFonts w:cstheme="minorHAnsi"/>
          <w:sz w:val="20"/>
          <w:szCs w:val="20"/>
          <w:lang w:val="cs-CZ"/>
        </w:rPr>
        <w:t>e</w:t>
      </w:r>
      <w:r w:rsidRPr="00834A40">
        <w:rPr>
          <w:rFonts w:cstheme="minorHAnsi"/>
          <w:sz w:val="20"/>
          <w:szCs w:val="20"/>
          <w:lang w:val="cs-CZ"/>
        </w:rPr>
        <w:t xml:space="preserve"> finanční objemy </w:t>
      </w:r>
      <w:r>
        <w:rPr>
          <w:rFonts w:cstheme="minorHAnsi"/>
          <w:sz w:val="20"/>
          <w:szCs w:val="20"/>
          <w:lang w:val="cs-CZ"/>
        </w:rPr>
        <w:t xml:space="preserve">pouze </w:t>
      </w:r>
      <w:r w:rsidRPr="00834A40">
        <w:rPr>
          <w:rFonts w:cstheme="minorHAnsi"/>
          <w:sz w:val="20"/>
          <w:szCs w:val="20"/>
          <w:lang w:val="cs-CZ"/>
        </w:rPr>
        <w:t>pro danou vysokou školu</w:t>
      </w:r>
      <w:r>
        <w:rPr>
          <w:rFonts w:cstheme="minorHAnsi"/>
          <w:sz w:val="20"/>
          <w:szCs w:val="20"/>
          <w:lang w:val="cs-CZ"/>
        </w:rPr>
        <w:t>.</w:t>
      </w:r>
    </w:p>
    <w:p w:rsidR="00896FAE" w:rsidRDefault="00896FAE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896FAE" w:rsidRPr="00400808" w:rsidRDefault="00400808" w:rsidP="000F31B0">
      <w:pPr>
        <w:spacing w:line="240" w:lineRule="atLeast"/>
        <w:jc w:val="both"/>
        <w:rPr>
          <w:rFonts w:cstheme="minorHAnsi"/>
          <w:lang w:val="cs-CZ"/>
        </w:rPr>
      </w:pPr>
      <w:r w:rsidRPr="00400808">
        <w:rPr>
          <w:rFonts w:cstheme="minorHAnsi"/>
          <w:lang w:val="cs-CZ"/>
        </w:rPr>
        <w:t>4.19.4 Projekty podporované z neveřejných zdrojů</w:t>
      </w:r>
    </w:p>
    <w:p w:rsidR="00896FAE" w:rsidRDefault="00896FAE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tbl>
      <w:tblPr>
        <w:tblStyle w:val="Mkatabulky"/>
        <w:tblW w:w="10774" w:type="dxa"/>
        <w:tblInd w:w="-856" w:type="dxa"/>
        <w:shd w:val="clear" w:color="auto" w:fill="F2F2F2" w:themeFill="background1" w:themeFillShade="F2"/>
        <w:tblLayout w:type="fixed"/>
        <w:tblLook w:val="04A0"/>
      </w:tblPr>
      <w:tblGrid>
        <w:gridCol w:w="2552"/>
        <w:gridCol w:w="4678"/>
        <w:gridCol w:w="709"/>
        <w:gridCol w:w="709"/>
        <w:gridCol w:w="708"/>
        <w:gridCol w:w="709"/>
        <w:gridCol w:w="709"/>
      </w:tblGrid>
      <w:tr w:rsidR="00400808" w:rsidRPr="00375A49" w:rsidTr="005C5E47">
        <w:tc>
          <w:tcPr>
            <w:tcW w:w="10774" w:type="dxa"/>
            <w:gridSpan w:val="7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 roli příjemce</w:t>
            </w:r>
          </w:p>
        </w:tc>
      </w:tr>
      <w:tr w:rsidR="00400808" w:rsidRPr="00375A49" w:rsidTr="00400808">
        <w:tc>
          <w:tcPr>
            <w:tcW w:w="2552" w:type="dxa"/>
            <w:vMerge w:val="restart"/>
            <w:shd w:val="clear" w:color="auto" w:fill="F2F2F2" w:themeFill="background1" w:themeFillShade="F2"/>
          </w:tcPr>
          <w:p w:rsidR="00400808" w:rsidRPr="00375A49" w:rsidRDefault="000F77B9" w:rsidP="005C5E47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Poskytovatel/</w:t>
            </w:r>
            <w:r w:rsidR="00400808" w:rsidRPr="00375A49">
              <w:rPr>
                <w:rFonts w:cstheme="minorHAnsi"/>
                <w:sz w:val="20"/>
                <w:szCs w:val="20"/>
              </w:rPr>
              <w:t>Investor</w:t>
            </w:r>
          </w:p>
        </w:tc>
        <w:tc>
          <w:tcPr>
            <w:tcW w:w="4678" w:type="dxa"/>
            <w:vMerge w:val="restart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3544" w:type="dxa"/>
            <w:gridSpan w:val="5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Podpora (v tis. Kč)</w:t>
            </w:r>
          </w:p>
        </w:tc>
      </w:tr>
      <w:tr w:rsidR="00A7646E" w:rsidRPr="00375A49" w:rsidTr="00400808">
        <w:tc>
          <w:tcPr>
            <w:tcW w:w="2552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400808" w:rsidRPr="00375A49" w:rsidTr="00400808">
        <w:tc>
          <w:tcPr>
            <w:tcW w:w="2552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400808" w:rsidRPr="00375A49" w:rsidTr="00400808">
        <w:tc>
          <w:tcPr>
            <w:tcW w:w="2552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400808" w:rsidRPr="00375A49" w:rsidTr="005C5E47">
        <w:tc>
          <w:tcPr>
            <w:tcW w:w="7230" w:type="dxa"/>
            <w:gridSpan w:val="2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400808" w:rsidRPr="00375A49" w:rsidTr="005C5E47">
        <w:tc>
          <w:tcPr>
            <w:tcW w:w="10774" w:type="dxa"/>
            <w:gridSpan w:val="7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V roli dalšího účastníka</w:t>
            </w:r>
          </w:p>
        </w:tc>
      </w:tr>
      <w:tr w:rsidR="00400808" w:rsidRPr="00375A49" w:rsidTr="00400808">
        <w:tc>
          <w:tcPr>
            <w:tcW w:w="2552" w:type="dxa"/>
            <w:vMerge w:val="restart"/>
            <w:shd w:val="clear" w:color="auto" w:fill="F2F2F2" w:themeFill="background1" w:themeFillShade="F2"/>
          </w:tcPr>
          <w:p w:rsidR="00400808" w:rsidRPr="00375A49" w:rsidRDefault="000F77B9" w:rsidP="005C5E47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Poskytovatel/</w:t>
            </w:r>
            <w:r w:rsidR="00400808" w:rsidRPr="00375A49">
              <w:rPr>
                <w:rFonts w:cstheme="minorHAnsi"/>
                <w:sz w:val="20"/>
                <w:szCs w:val="20"/>
              </w:rPr>
              <w:t>Investor</w:t>
            </w:r>
          </w:p>
        </w:tc>
        <w:tc>
          <w:tcPr>
            <w:tcW w:w="4678" w:type="dxa"/>
            <w:vMerge w:val="restart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3544" w:type="dxa"/>
            <w:gridSpan w:val="5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Podpora (v tis. Kč)</w:t>
            </w:r>
          </w:p>
        </w:tc>
      </w:tr>
      <w:tr w:rsidR="00A7646E" w:rsidRPr="00375A49" w:rsidTr="00400808">
        <w:tc>
          <w:tcPr>
            <w:tcW w:w="2552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vMerge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400808" w:rsidRPr="00375A49" w:rsidTr="00400808">
        <w:tc>
          <w:tcPr>
            <w:tcW w:w="2552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400808" w:rsidRPr="00375A49" w:rsidTr="00400808">
        <w:tc>
          <w:tcPr>
            <w:tcW w:w="2552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400808" w:rsidRPr="00375A49" w:rsidTr="005C5E47">
        <w:tc>
          <w:tcPr>
            <w:tcW w:w="7230" w:type="dxa"/>
            <w:gridSpan w:val="2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00808" w:rsidRPr="00375A49" w:rsidRDefault="00400808" w:rsidP="005C5E47">
            <w:pPr>
              <w:spacing w:line="24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896FAE" w:rsidRDefault="00896FAE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896FAE" w:rsidRDefault="00896FAE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4B7387" w:rsidRDefault="004B7387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4B7387" w:rsidRDefault="004B7387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4B7387" w:rsidRDefault="004B7387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4B7387" w:rsidRDefault="004B7387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4B7387" w:rsidRDefault="004B7387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4B7387" w:rsidRDefault="004B7387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4B7387" w:rsidRDefault="004B7387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4B7387" w:rsidRPr="00375A49" w:rsidRDefault="004B7387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contextualSpacing/>
        <w:jc w:val="both"/>
        <w:rPr>
          <w:rFonts w:eastAsia="OpenSymbol" w:cs="Times New Roman"/>
          <w:b/>
          <w:kern w:val="1"/>
          <w:lang w:val="cs-CZ"/>
        </w:rPr>
      </w:pPr>
      <w:r w:rsidRPr="00375A49">
        <w:rPr>
          <w:rFonts w:eastAsia="OpenSymbol" w:cs="Times New Roman"/>
          <w:b/>
          <w:kern w:val="1"/>
          <w:lang w:val="cs-CZ"/>
        </w:rPr>
        <w:t xml:space="preserve">4.24 Systém pořizování a obnovy přístrojů a vybavení pro </w:t>
      </w:r>
      <w:r w:rsidR="004B3C3A">
        <w:rPr>
          <w:rFonts w:eastAsia="OpenSymbol" w:cs="Times New Roman"/>
          <w:b/>
          <w:kern w:val="1"/>
          <w:lang w:val="cs-CZ"/>
        </w:rPr>
        <w:t>VaVaI</w:t>
      </w:r>
    </w:p>
    <w:p w:rsidR="000F31B0" w:rsidRPr="00375A49" w:rsidRDefault="000F31B0" w:rsidP="000F31B0">
      <w:pPr>
        <w:widowControl w:val="0"/>
        <w:autoSpaceDE w:val="0"/>
        <w:autoSpaceDN w:val="0"/>
        <w:adjustRightInd w:val="0"/>
        <w:contextualSpacing/>
        <w:jc w:val="both"/>
        <w:rPr>
          <w:rFonts w:eastAsia="OpenSymbol" w:cs="Times New Roman"/>
          <w:b/>
          <w:kern w:val="1"/>
          <w:lang w:val="cs-CZ"/>
        </w:rPr>
      </w:pPr>
    </w:p>
    <w:p w:rsidR="000F31B0" w:rsidRPr="006A4AD9" w:rsidRDefault="000F31B0" w:rsidP="006A4AD9">
      <w:pPr>
        <w:widowControl w:val="0"/>
        <w:autoSpaceDE w:val="0"/>
        <w:autoSpaceDN w:val="0"/>
        <w:adjustRightInd w:val="0"/>
        <w:contextualSpacing/>
        <w:jc w:val="both"/>
        <w:rPr>
          <w:rFonts w:cs="Times New Roman"/>
          <w:lang w:val="cs-CZ"/>
        </w:rPr>
      </w:pPr>
      <w:r w:rsidRPr="00375A49">
        <w:rPr>
          <w:rFonts w:eastAsia="OpenSymbol" w:cs="Times New Roman"/>
          <w:kern w:val="1"/>
          <w:lang w:val="cs-CZ"/>
        </w:rPr>
        <w:t xml:space="preserve">4.24.1 Přehled výdajů/nákladů na výzkumnou infrastrukturu a vybavení za hodnocené období </w:t>
      </w:r>
      <w:r w:rsidR="00DD6F5D">
        <w:rPr>
          <w:rFonts w:eastAsia="OpenSymbol" w:cs="Times New Roman"/>
          <w:kern w:val="1"/>
          <w:lang w:val="cs-CZ"/>
        </w:rPr>
        <w:t xml:space="preserve">2014 až 2018 </w:t>
      </w:r>
      <w:r w:rsidRPr="00375A49">
        <w:rPr>
          <w:rFonts w:eastAsia="OpenSymbol" w:cs="Times New Roman"/>
          <w:kern w:val="1"/>
          <w:lang w:val="cs-CZ"/>
        </w:rPr>
        <w:t xml:space="preserve">(včetně souvisejících </w:t>
      </w:r>
      <w:r w:rsidR="003E0BB5">
        <w:rPr>
          <w:rFonts w:eastAsia="OpenSymbol" w:cs="Times New Roman"/>
          <w:kern w:val="1"/>
          <w:lang w:val="cs-CZ"/>
        </w:rPr>
        <w:t xml:space="preserve">neinvestičních </w:t>
      </w:r>
      <w:r w:rsidR="00692C02">
        <w:rPr>
          <w:rFonts w:eastAsia="OpenSymbol" w:cs="Times New Roman"/>
          <w:kern w:val="1"/>
          <w:lang w:val="cs-CZ"/>
        </w:rPr>
        <w:t>a</w:t>
      </w:r>
      <w:r w:rsidRPr="00375A49">
        <w:rPr>
          <w:rFonts w:eastAsia="OpenSymbol" w:cs="Times New Roman"/>
          <w:kern w:val="1"/>
          <w:lang w:val="cs-CZ"/>
        </w:rPr>
        <w:t xml:space="preserve"> </w:t>
      </w:r>
      <w:r w:rsidR="002E62BE">
        <w:rPr>
          <w:rFonts w:eastAsia="OpenSymbol" w:cs="Times New Roman"/>
          <w:kern w:val="1"/>
          <w:lang w:val="cs-CZ"/>
        </w:rPr>
        <w:t xml:space="preserve">osobních </w:t>
      </w:r>
      <w:r w:rsidRPr="00375A49">
        <w:rPr>
          <w:rFonts w:eastAsia="OpenSymbol" w:cs="Times New Roman"/>
          <w:kern w:val="1"/>
          <w:lang w:val="cs-CZ"/>
        </w:rPr>
        <w:t>nákladů).</w:t>
      </w:r>
    </w:p>
    <w:p w:rsidR="000F31B0" w:rsidRPr="00375A49" w:rsidRDefault="000F31B0" w:rsidP="000F31B0">
      <w:pPr>
        <w:jc w:val="both"/>
        <w:rPr>
          <w:rFonts w:cs="Times New Roman"/>
          <w:lang w:val="cs-CZ"/>
        </w:rPr>
      </w:pPr>
    </w:p>
    <w:tbl>
      <w:tblPr>
        <w:tblStyle w:val="Mkatabulky"/>
        <w:tblW w:w="9197" w:type="dxa"/>
        <w:jc w:val="center"/>
        <w:shd w:val="clear" w:color="auto" w:fill="F2F2F2" w:themeFill="background1" w:themeFillShade="F2"/>
        <w:tblLook w:val="04A0"/>
      </w:tblPr>
      <w:tblGrid>
        <w:gridCol w:w="3256"/>
        <w:gridCol w:w="963"/>
        <w:gridCol w:w="964"/>
        <w:gridCol w:w="964"/>
        <w:gridCol w:w="964"/>
        <w:gridCol w:w="964"/>
        <w:gridCol w:w="1122"/>
      </w:tblGrid>
      <w:tr w:rsidR="00A7646E" w:rsidRPr="00375A49" w:rsidTr="005C5E47">
        <w:trPr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A7646E" w:rsidRPr="00375A49" w:rsidRDefault="00A7646E" w:rsidP="00A764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eastAsia="OpenSymbol" w:cstheme="minorHAnsi"/>
                <w:kern w:val="1"/>
                <w:sz w:val="20"/>
                <w:szCs w:val="20"/>
              </w:rPr>
              <w:t>Náklady/výdaje v tis. Kč/rok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A7646E" w:rsidRPr="00375A49" w:rsidRDefault="00A7646E" w:rsidP="00A764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:rsidR="00A7646E" w:rsidRPr="00375A49" w:rsidRDefault="00A7646E" w:rsidP="00A764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eastAsia="OpenSymbol" w:cstheme="minorHAnsi"/>
                <w:kern w:val="1"/>
                <w:sz w:val="20"/>
                <w:szCs w:val="20"/>
              </w:rPr>
              <w:t>Hodnota majetku celkem</w:t>
            </w:r>
          </w:p>
        </w:tc>
      </w:tr>
      <w:tr w:rsidR="000F31B0" w:rsidRPr="00375A49" w:rsidTr="00DC1359">
        <w:trPr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4B3C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eastAsia="OpenSymbol" w:cstheme="minorHAnsi"/>
                <w:kern w:val="1"/>
                <w:sz w:val="20"/>
                <w:szCs w:val="20"/>
              </w:rPr>
              <w:t>Náklady/výdaje související s pořízením drobného dlouhodobého majetku na </w:t>
            </w:r>
            <w:r w:rsidR="004B3C3A">
              <w:rPr>
                <w:rFonts w:eastAsia="OpenSymbol" w:cstheme="minorHAnsi"/>
                <w:kern w:val="1"/>
                <w:sz w:val="20"/>
                <w:szCs w:val="20"/>
              </w:rPr>
              <w:t>VaVaI</w:t>
            </w:r>
            <w:r w:rsidRPr="00375A49">
              <w:rPr>
                <w:rFonts w:eastAsia="OpenSymbol" w:cstheme="minorHAnsi"/>
                <w:kern w:val="1"/>
                <w:sz w:val="20"/>
                <w:szCs w:val="20"/>
              </w:rPr>
              <w:t xml:space="preserve"> celkem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eastAsia="OpenSymbol" w:cstheme="minorHAnsi"/>
                <w:kern w:val="1"/>
                <w:sz w:val="20"/>
                <w:szCs w:val="20"/>
              </w:rPr>
              <w:t>Náklady na opravy a udržování vybavení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9197" w:type="dxa"/>
            <w:gridSpan w:val="7"/>
            <w:shd w:val="clear" w:color="auto" w:fill="F2F2F2" w:themeFill="background1" w:themeFillShade="F2"/>
          </w:tcPr>
          <w:p w:rsidR="000F31B0" w:rsidRPr="00375A49" w:rsidRDefault="000F31B0" w:rsidP="004B3C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eastAsia="OpenSymbol" w:cstheme="minorHAnsi"/>
                <w:kern w:val="1"/>
                <w:sz w:val="20"/>
                <w:szCs w:val="20"/>
              </w:rPr>
              <w:t xml:space="preserve">Pořízení dlouhodobého hmotného (DH) a dlouhodobého nehmotného (DN) majetku na </w:t>
            </w:r>
            <w:r w:rsidR="004B3C3A">
              <w:rPr>
                <w:rFonts w:eastAsia="OpenSymbol" w:cstheme="minorHAnsi"/>
                <w:kern w:val="1"/>
                <w:sz w:val="20"/>
                <w:szCs w:val="20"/>
              </w:rPr>
              <w:t>VaVaI</w:t>
            </w:r>
            <w:r w:rsidRPr="00375A49">
              <w:rPr>
                <w:rFonts w:eastAsia="OpenSymbol" w:cstheme="minorHAnsi"/>
                <w:kern w:val="1"/>
                <w:sz w:val="20"/>
                <w:szCs w:val="20"/>
              </w:rPr>
              <w:t xml:space="preserve"> (investice)</w:t>
            </w:r>
          </w:p>
        </w:tc>
      </w:tr>
      <w:tr w:rsidR="000F31B0" w:rsidRPr="00375A49" w:rsidTr="00DC1359">
        <w:trPr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eastAsia="OpenSymbol" w:cstheme="minorHAnsi"/>
                <w:kern w:val="1"/>
                <w:sz w:val="20"/>
                <w:szCs w:val="20"/>
              </w:rPr>
              <w:t>Z toho software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eastAsia="OpenSymbol" w:cstheme="minorHAnsi"/>
                <w:kern w:val="1"/>
                <w:sz w:val="20"/>
                <w:szCs w:val="20"/>
              </w:rPr>
              <w:t>Z toho ostatní dlouhodobý nehmotný majetek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eastAsia="OpenSymbol" w:cstheme="minorHAnsi"/>
                <w:kern w:val="1"/>
                <w:sz w:val="20"/>
                <w:szCs w:val="20"/>
              </w:rPr>
              <w:t>Z toho pozemky, budovy a stavby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</w:tr>
      <w:tr w:rsidR="000F31B0" w:rsidRPr="00375A49" w:rsidTr="00DC1359">
        <w:trPr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eastAsia="OpenSymbol" w:cstheme="minorHAnsi"/>
                <w:kern w:val="1"/>
                <w:sz w:val="20"/>
                <w:szCs w:val="20"/>
              </w:rPr>
              <w:t>Ostatní dlouhodobý hmotný majetek (stroje, přístroje, zařízení apod.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</w:tr>
      <w:tr w:rsidR="000F31B0" w:rsidRPr="0099636E" w:rsidTr="00DC1359">
        <w:trPr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  <w:r w:rsidRPr="00375A49">
              <w:rPr>
                <w:rFonts w:eastAsia="OpenSymbol" w:cstheme="minorHAnsi"/>
                <w:kern w:val="1"/>
                <w:sz w:val="20"/>
                <w:szCs w:val="20"/>
              </w:rPr>
              <w:t xml:space="preserve">Celkové výdaje na infrastrukturu v letech 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penSymbol" w:cstheme="minorHAnsi"/>
                <w:kern w:val="1"/>
                <w:sz w:val="20"/>
                <w:szCs w:val="20"/>
              </w:rPr>
            </w:pPr>
          </w:p>
        </w:tc>
      </w:tr>
    </w:tbl>
    <w:p w:rsidR="00697281" w:rsidRDefault="00697281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697281" w:rsidRDefault="00697281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697281" w:rsidRDefault="00697281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697281" w:rsidRDefault="00697281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697281" w:rsidRDefault="00697281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697281" w:rsidRDefault="00697281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EF2591" w:rsidRDefault="00EF2591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EF2591" w:rsidRDefault="00EF2591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EF2591" w:rsidRDefault="00EF2591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927B88" w:rsidRDefault="00927B88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4B7387" w:rsidRDefault="004B7387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57258B" w:rsidRDefault="0057258B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0F31B0" w:rsidRPr="006A4AD9" w:rsidRDefault="000F31B0" w:rsidP="006A4AD9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  <w:r w:rsidRPr="00375A49">
        <w:rPr>
          <w:rFonts w:cstheme="minorHAnsi"/>
          <w:b/>
          <w:bCs/>
          <w:lang w:val="cs-CZ"/>
        </w:rPr>
        <w:t>_________________________________________________________________________</w:t>
      </w:r>
    </w:p>
    <w:p w:rsidR="000F31B0" w:rsidRPr="00375A49" w:rsidRDefault="000F31B0" w:rsidP="00EC0B12">
      <w:pPr>
        <w:pStyle w:val="Nadpis3"/>
      </w:pPr>
      <w:bookmarkStart w:id="55" w:name="_Toc5133497"/>
      <w:bookmarkStart w:id="56" w:name="_Toc6493950"/>
      <w:bookmarkStart w:id="57" w:name="_Toc7772762"/>
      <w:bookmarkStart w:id="58" w:name="_Toc11664132"/>
      <w:r w:rsidRPr="00375A49">
        <w:t>MODUL 5 STRATEGIE A KONCEPCE</w:t>
      </w:r>
      <w:bookmarkEnd w:id="55"/>
      <w:bookmarkEnd w:id="56"/>
      <w:bookmarkEnd w:id="57"/>
      <w:bookmarkEnd w:id="58"/>
    </w:p>
    <w:p w:rsidR="000F31B0" w:rsidRPr="00375A49" w:rsidRDefault="000F31B0" w:rsidP="000F31B0">
      <w:pPr>
        <w:rPr>
          <w:rFonts w:cstheme="minorHAnsi"/>
          <w:b/>
          <w:lang w:val="cs-CZ"/>
        </w:rPr>
      </w:pPr>
    </w:p>
    <w:p w:rsidR="000F31B0" w:rsidRPr="00375A49" w:rsidRDefault="006A4AD9" w:rsidP="000F31B0">
      <w:pPr>
        <w:spacing w:line="240" w:lineRule="atLeast"/>
        <w:contextualSpacing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Hodnocení v m</w:t>
      </w:r>
      <w:r w:rsidR="000F31B0" w:rsidRPr="00375A49">
        <w:rPr>
          <w:rFonts w:cstheme="minorHAnsi"/>
          <w:lang w:val="cs-CZ"/>
        </w:rPr>
        <w:t xml:space="preserve">odulu 5 (dále „jen M5“) má za cíl posoudit kvalitu z různých hledisek formulovaných strategií vysoké školy pro její budoucí vývoj. </w:t>
      </w:r>
    </w:p>
    <w:p w:rsidR="000F31B0" w:rsidRPr="00375A49" w:rsidRDefault="000F31B0" w:rsidP="000F31B0">
      <w:pPr>
        <w:spacing w:line="240" w:lineRule="atLeast"/>
        <w:contextualSpacing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 xml:space="preserve">Kvalitní formulace výzkumné strategie vysoké školy stanoví základ pro budoucí vývoj a její kvalita je kritickým faktorem pro odborné panely. Významnost tohoto kritéria se týká všech vysokých škol. </w:t>
      </w:r>
      <w:r>
        <w:rPr>
          <w:rFonts w:cstheme="minorHAnsi"/>
          <w:lang w:val="cs-CZ"/>
        </w:rPr>
        <w:t xml:space="preserve">Modul </w:t>
      </w:r>
      <w:r w:rsidRPr="00375A49">
        <w:rPr>
          <w:rFonts w:cstheme="minorHAnsi"/>
          <w:lang w:val="cs-CZ"/>
        </w:rPr>
        <w:t>M5 zahrnuje sledování 5 kritérií v tě</w:t>
      </w:r>
      <w:r w:rsidR="00A61AD9">
        <w:rPr>
          <w:rFonts w:cstheme="minorHAnsi"/>
          <w:lang w:val="cs-CZ"/>
        </w:rPr>
        <w:t>chto oblastech: mise a vize ve VaVaI</w:t>
      </w:r>
      <w:r w:rsidRPr="00375A49">
        <w:rPr>
          <w:rFonts w:cstheme="minorHAnsi"/>
          <w:lang w:val="cs-CZ"/>
        </w:rPr>
        <w:t xml:space="preserve"> (strategické směrování pro další období, vazba na plnění koncepce poskytovatele/zřizovatele), cíle a strategie </w:t>
      </w:r>
      <w:r w:rsidR="00A61AD9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, národní a mezinárodní kontext </w:t>
      </w:r>
      <w:r w:rsidR="00A61AD9">
        <w:rPr>
          <w:rFonts w:cstheme="minorHAnsi"/>
          <w:lang w:val="cs-CZ"/>
        </w:rPr>
        <w:t>VaVaI</w:t>
      </w:r>
      <w:r w:rsidRPr="00375A49">
        <w:rPr>
          <w:rFonts w:cstheme="minorHAnsi"/>
          <w:lang w:val="cs-CZ"/>
        </w:rPr>
        <w:t xml:space="preserve"> (opatření vyplývající z platných strategických dokumentů na národní a nadnárodní úrovni – priorit, politik, akčních plánů atd.), nástroje pro naplňování výzkumné strategie</w:t>
      </w:r>
      <w:r w:rsidR="00287219">
        <w:rPr>
          <w:rFonts w:cstheme="minorHAnsi"/>
          <w:lang w:val="cs-CZ"/>
        </w:rPr>
        <w:t>.</w:t>
      </w:r>
    </w:p>
    <w:p w:rsidR="000F31B0" w:rsidRPr="00375A49" w:rsidRDefault="000F31B0" w:rsidP="000F31B0">
      <w:pPr>
        <w:ind w:left="360"/>
        <w:rPr>
          <w:rFonts w:cstheme="minorHAnsi"/>
          <w:b/>
          <w:lang w:val="cs-CZ"/>
        </w:rPr>
      </w:pPr>
    </w:p>
    <w:p w:rsidR="000F31B0" w:rsidRPr="00375A49" w:rsidRDefault="000F31B0" w:rsidP="000F31B0">
      <w:pPr>
        <w:spacing w:line="240" w:lineRule="atLeast"/>
        <w:contextualSpacing/>
        <w:jc w:val="both"/>
        <w:rPr>
          <w:rFonts w:cstheme="minorHAnsi"/>
          <w:b/>
          <w:sz w:val="30"/>
          <w:szCs w:val="30"/>
          <w:lang w:val="cs-CZ"/>
        </w:rPr>
      </w:pPr>
      <w:r w:rsidRPr="00375A49">
        <w:rPr>
          <w:rFonts w:cstheme="minorHAnsi"/>
          <w:lang w:val="cs-CZ"/>
        </w:rPr>
        <w:t>V</w:t>
      </w:r>
      <w:r>
        <w:rPr>
          <w:rFonts w:cstheme="minorHAnsi"/>
          <w:lang w:val="cs-CZ"/>
        </w:rPr>
        <w:t xml:space="preserve"> modulu </w:t>
      </w:r>
      <w:r w:rsidRPr="00375A49">
        <w:rPr>
          <w:rFonts w:cstheme="minorHAnsi"/>
          <w:lang w:val="cs-CZ"/>
        </w:rPr>
        <w:t>M5 je hodnocenou jednotkou vysoká škola jako celek. Vysoká škola zpracuje sebeevaluační zprávu v rozsahu maximálně 5 normostran textu doplněného odkazy a přílohami (tabulky ani další přílohy se do rozsahu nezapočítávají).</w:t>
      </w: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spacing w:line="240" w:lineRule="atLeast"/>
        <w:contextualSpacing/>
        <w:jc w:val="both"/>
        <w:rPr>
          <w:rFonts w:cstheme="minorHAnsi"/>
          <w:lang w:val="cs-CZ"/>
        </w:rPr>
      </w:pPr>
      <w:r w:rsidRPr="00375A49">
        <w:rPr>
          <w:rFonts w:cstheme="minorHAnsi"/>
          <w:lang w:val="cs-CZ"/>
        </w:rPr>
        <w:t>Modul M5 je rozdělen do 4 klastrů, které zahrn</w:t>
      </w:r>
      <w:r w:rsidR="00287219">
        <w:rPr>
          <w:rFonts w:cstheme="minorHAnsi"/>
          <w:lang w:val="cs-CZ"/>
        </w:rPr>
        <w:t>ují celkem 5 konkrétních hodnoti</w:t>
      </w:r>
      <w:r w:rsidRPr="00375A49">
        <w:rPr>
          <w:rFonts w:cstheme="minorHAnsi"/>
          <w:lang w:val="cs-CZ"/>
        </w:rPr>
        <w:t>cích kritérií</w:t>
      </w:r>
      <w:r w:rsidR="0007185F">
        <w:rPr>
          <w:rFonts w:cstheme="minorHAnsi"/>
          <w:lang w:val="cs-CZ"/>
        </w:rPr>
        <w:t xml:space="preserve"> </w:t>
      </w:r>
      <w:r w:rsidR="0007185F" w:rsidRPr="0007185F">
        <w:rPr>
          <w:rFonts w:cstheme="minorHAnsi"/>
          <w:lang w:val="cs-CZ"/>
        </w:rPr>
        <w:t>(pro státní vysoké školy vojenské a státní vysoké školy policejní se některá kritéria nepoužijí)</w:t>
      </w:r>
      <w:r w:rsidRPr="00375A49">
        <w:rPr>
          <w:rFonts w:cstheme="minorHAnsi"/>
          <w:lang w:val="cs-CZ"/>
        </w:rPr>
        <w:t>:</w:t>
      </w: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MISE A VIZE VE V</w:t>
      </w:r>
      <w:r w:rsidR="00A61AD9">
        <w:rPr>
          <w:rFonts w:cstheme="minorHAnsi"/>
          <w:b/>
          <w:lang w:val="cs-CZ"/>
        </w:rPr>
        <w:t>AVAI</w:t>
      </w: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5.1 Mise a vize hodnocené instituce ve </w:t>
      </w:r>
      <w:r w:rsidR="00A61AD9">
        <w:rPr>
          <w:b/>
          <w:lang w:val="cs-CZ"/>
        </w:rPr>
        <w:t>VaVaI</w:t>
      </w:r>
      <w:r w:rsidRPr="00375A49">
        <w:rPr>
          <w:b/>
          <w:lang w:val="cs-CZ"/>
        </w:rPr>
        <w:t xml:space="preserve"> 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stručně popíše svou vizi a obecnou misi s důrazem na </w:t>
      </w:r>
      <w:r w:rsidR="00A61AD9">
        <w:rPr>
          <w:i/>
          <w:lang w:val="cs-CZ"/>
        </w:rPr>
        <w:t xml:space="preserve">VaVaI </w:t>
      </w:r>
      <w:r w:rsidRPr="00375A49">
        <w:rPr>
          <w:i/>
          <w:lang w:val="cs-CZ"/>
        </w:rPr>
        <w:t xml:space="preserve">(kontext se vzdělávací funkcí </w:t>
      </w:r>
      <w:r w:rsidRPr="0084111F">
        <w:rPr>
          <w:i/>
          <w:color w:val="000000" w:themeColor="text1"/>
          <w:lang w:val="cs-CZ"/>
        </w:rPr>
        <w:t xml:space="preserve">a </w:t>
      </w:r>
      <w:r w:rsidR="0084111F">
        <w:rPr>
          <w:i/>
          <w:color w:val="000000" w:themeColor="text1"/>
          <w:lang w:val="cs-CZ"/>
        </w:rPr>
        <w:t>se s</w:t>
      </w:r>
      <w:r w:rsidR="00F11DA3" w:rsidRPr="0084111F">
        <w:rPr>
          <w:i/>
          <w:color w:val="000000" w:themeColor="text1"/>
          <w:lang w:val="cs-CZ"/>
        </w:rPr>
        <w:t>trategií vzdělávací politiky</w:t>
      </w:r>
      <w:r w:rsidR="00DF3D3E">
        <w:rPr>
          <w:i/>
          <w:color w:val="000000" w:themeColor="text1"/>
          <w:lang w:val="cs-CZ"/>
        </w:rPr>
        <w:t xml:space="preserve"> státu nebo </w:t>
      </w:r>
      <w:r w:rsidR="00FE09EE">
        <w:rPr>
          <w:i/>
          <w:color w:val="000000" w:themeColor="text1"/>
          <w:lang w:val="cs-CZ"/>
        </w:rPr>
        <w:t>příslušného ministerstva</w:t>
      </w:r>
      <w:r w:rsidR="00DF3D3E">
        <w:rPr>
          <w:i/>
          <w:color w:val="000000" w:themeColor="text1"/>
          <w:lang w:val="cs-CZ"/>
        </w:rPr>
        <w:t xml:space="preserve"> pro vysoké školství</w:t>
      </w:r>
      <w:r w:rsidR="00E92877" w:rsidRPr="0084111F">
        <w:rPr>
          <w:i/>
          <w:lang w:val="cs-CZ"/>
        </w:rPr>
        <w:t>;</w:t>
      </w:r>
      <w:r w:rsidRPr="00375A49">
        <w:rPr>
          <w:i/>
          <w:lang w:val="cs-CZ"/>
        </w:rPr>
        <w:t xml:space="preserve"> porovnání definované mise se skutečností). Popis doplní aktivními odkazy na strategický záměr vzdělávací a</w:t>
      </w:r>
      <w:r w:rsidR="00C60731">
        <w:rPr>
          <w:i/>
          <w:lang w:val="cs-CZ"/>
        </w:rPr>
        <w:t> </w:t>
      </w:r>
      <w:r w:rsidRPr="00375A49">
        <w:rPr>
          <w:i/>
          <w:lang w:val="cs-CZ"/>
        </w:rPr>
        <w:t>vědecké, výzkumné, vývojové a inovační, umělecké nebo další tvůrčí činnosti a jeho aktualizace.</w:t>
      </w: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CÍLE A STRATEGIE </w:t>
      </w:r>
      <w:r w:rsidR="00A61AD9">
        <w:rPr>
          <w:rFonts w:cstheme="minorHAnsi"/>
          <w:b/>
          <w:lang w:val="cs-CZ"/>
        </w:rPr>
        <w:t>VAVAI</w:t>
      </w: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>5.2 Výzkumné cíle a strategie pro období do dalšího hodnocení</w:t>
      </w: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Vysoká škola stručně popíše svou výzkumnou strategii a cíle (např. konkrétnost, realizovatelnost, mezinárodní kontext strategického záměru vzdělávací a vědecké, výzkumné, vývojové a inovační, umělecké nebo další tvůrčí činnosti a jeho aktualizace). Relevantní je popis zjišťování potřeb společnosti, resp. trhu.</w:t>
      </w:r>
    </w:p>
    <w:p w:rsidR="000F31B0" w:rsidRPr="00375A49" w:rsidRDefault="000F31B0" w:rsidP="000F31B0">
      <w:pPr>
        <w:jc w:val="both"/>
        <w:rPr>
          <w:rFonts w:cstheme="minorHAnsi"/>
          <w:i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NÁRODNÍ A MEZINÁRODNÍ KONTEXT </w:t>
      </w:r>
      <w:r w:rsidR="00F4030E">
        <w:rPr>
          <w:rFonts w:cstheme="minorHAnsi"/>
          <w:b/>
          <w:lang w:val="cs-CZ"/>
        </w:rPr>
        <w:t>VAVAI</w:t>
      </w: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5.3 Vazba na plnění vyšších národních a nadnárodních strategických cílů a opatření v oblasti </w:t>
      </w:r>
      <w:r w:rsidR="00F4030E">
        <w:rPr>
          <w:b/>
          <w:lang w:val="cs-CZ"/>
        </w:rPr>
        <w:t>VaVaI</w:t>
      </w:r>
    </w:p>
    <w:p w:rsidR="00F65572" w:rsidRPr="009D3BBE" w:rsidRDefault="000F31B0" w:rsidP="00273BB3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stručně popíše vazbu </w:t>
      </w:r>
      <w:r w:rsidR="00F4030E">
        <w:rPr>
          <w:i/>
          <w:lang w:val="cs-CZ"/>
        </w:rPr>
        <w:t>svých koncepcí souvisejících s VaVaI</w:t>
      </w:r>
      <w:r w:rsidRPr="00375A49">
        <w:rPr>
          <w:i/>
          <w:lang w:val="cs-CZ"/>
        </w:rPr>
        <w:t xml:space="preserve"> na plnění vyšších národních a nadnárodních strategických cíl</w:t>
      </w:r>
      <w:r w:rsidR="004C2C08">
        <w:rPr>
          <w:i/>
          <w:lang w:val="cs-CZ"/>
        </w:rPr>
        <w:t xml:space="preserve">ů a opatření v oblasti </w:t>
      </w:r>
      <w:r w:rsidR="00F4030E">
        <w:rPr>
          <w:i/>
          <w:lang w:val="cs-CZ"/>
        </w:rPr>
        <w:t>VaVaI</w:t>
      </w:r>
      <w:r w:rsidR="004C2C08">
        <w:rPr>
          <w:i/>
          <w:lang w:val="cs-CZ"/>
        </w:rPr>
        <w:t xml:space="preserve">: </w:t>
      </w:r>
      <w:r w:rsidRPr="00375A49">
        <w:rPr>
          <w:i/>
          <w:lang w:val="cs-CZ"/>
        </w:rPr>
        <w:t>kontext s platnými dokumenty, např. Sdělení Evropské komise Evropa 2020 - Strategie pro inteligentní a udržitelný růst podporující začlenění, Národní politika výzkumu, vývoje a inovací na léta 2016 až 2020, Národní priority výzkumu, experimentálního vývoje a inovací, Národní výzkumnou a inovační strategii pro inteligentní specializaci České republiky (Národní RIS 3 strategie) apod.</w:t>
      </w:r>
    </w:p>
    <w:p w:rsidR="00F65572" w:rsidRDefault="00F65572" w:rsidP="00273BB3">
      <w:pPr>
        <w:jc w:val="both"/>
        <w:rPr>
          <w:b/>
          <w:lang w:val="cs-CZ"/>
        </w:rPr>
      </w:pPr>
    </w:p>
    <w:p w:rsidR="007C7F4F" w:rsidRDefault="007C7F4F" w:rsidP="00273BB3">
      <w:pPr>
        <w:jc w:val="both"/>
        <w:rPr>
          <w:b/>
          <w:lang w:val="cs-CZ"/>
        </w:rPr>
      </w:pPr>
    </w:p>
    <w:p w:rsidR="007C7F4F" w:rsidRDefault="007C7F4F" w:rsidP="00273BB3">
      <w:pPr>
        <w:jc w:val="both"/>
        <w:rPr>
          <w:b/>
          <w:lang w:val="cs-CZ"/>
        </w:rPr>
      </w:pPr>
    </w:p>
    <w:p w:rsidR="007C7F4F" w:rsidRDefault="007C7F4F" w:rsidP="00273BB3">
      <w:pPr>
        <w:jc w:val="both"/>
        <w:rPr>
          <w:b/>
          <w:lang w:val="cs-CZ"/>
        </w:rPr>
      </w:pPr>
    </w:p>
    <w:p w:rsidR="007C7F4F" w:rsidRDefault="007C7F4F" w:rsidP="00273BB3">
      <w:pPr>
        <w:jc w:val="both"/>
        <w:rPr>
          <w:b/>
          <w:lang w:val="cs-CZ"/>
        </w:rPr>
      </w:pPr>
    </w:p>
    <w:p w:rsidR="00273BB3" w:rsidRPr="00273BB3" w:rsidRDefault="000F31B0" w:rsidP="00273BB3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5.4 Strategie a nástroje </w:t>
      </w:r>
      <w:r w:rsidR="00273BB3" w:rsidRPr="00273BB3">
        <w:rPr>
          <w:b/>
          <w:lang w:val="cs-CZ"/>
        </w:rPr>
        <w:t>strategického řízení pro zvyšování mezinárodní nebo oborové konkurenceschopnosti výzkumné činnosti vysoké školy a její kvality</w:t>
      </w:r>
    </w:p>
    <w:p w:rsidR="000F31B0" w:rsidRPr="00273BB3" w:rsidRDefault="000F31B0" w:rsidP="000F31B0">
      <w:pPr>
        <w:jc w:val="both"/>
        <w:rPr>
          <w:b/>
          <w:lang w:val="cs-CZ"/>
        </w:rPr>
      </w:pPr>
    </w:p>
    <w:p w:rsidR="000F31B0" w:rsidRPr="00375A49" w:rsidRDefault="000F31B0" w:rsidP="000F31B0">
      <w:pPr>
        <w:jc w:val="both"/>
        <w:rPr>
          <w:i/>
          <w:lang w:val="cs-CZ"/>
        </w:rPr>
      </w:pPr>
      <w:r w:rsidRPr="00375A49">
        <w:rPr>
          <w:i/>
          <w:lang w:val="cs-CZ"/>
        </w:rPr>
        <w:t>Vysoká škola stručně popíše svou strategii a</w:t>
      </w:r>
      <w:r w:rsidR="005E0D39" w:rsidRPr="00F11DA3">
        <w:rPr>
          <w:lang w:val="cs-CZ"/>
        </w:rPr>
        <w:t xml:space="preserve"> </w:t>
      </w:r>
      <w:r w:rsidR="005E0D39" w:rsidRPr="005E0D39">
        <w:rPr>
          <w:i/>
          <w:lang w:val="cs-CZ"/>
        </w:rPr>
        <w:t>nástroje strategického řízení</w:t>
      </w:r>
      <w:r w:rsidR="005E0D39">
        <w:rPr>
          <w:i/>
          <w:lang w:val="cs-CZ"/>
        </w:rPr>
        <w:t xml:space="preserve"> </w:t>
      </w:r>
      <w:r w:rsidR="005E0D39" w:rsidRPr="005E0D39">
        <w:rPr>
          <w:i/>
          <w:lang w:val="cs-CZ"/>
        </w:rPr>
        <w:t>pro zvyšování mezinárodní nebo oborové konkurenceschopnosti výzkumné činnosti vysoké školy a její kvalit</w:t>
      </w:r>
      <w:r w:rsidR="00287219">
        <w:rPr>
          <w:i/>
          <w:lang w:val="cs-CZ"/>
        </w:rPr>
        <w:t>y</w:t>
      </w:r>
      <w:r w:rsidR="005E0D39">
        <w:rPr>
          <w:i/>
          <w:lang w:val="cs-CZ"/>
        </w:rPr>
        <w:t xml:space="preserve">. </w:t>
      </w:r>
      <w:r w:rsidRPr="00375A49">
        <w:rPr>
          <w:i/>
          <w:lang w:val="cs-CZ"/>
        </w:rPr>
        <w:t>V příloze předloží seznam referující o tom, jakých nejvýznamnějších mezinárodních hodnocení v</w:t>
      </w:r>
      <w:r w:rsidR="00D30CCD">
        <w:rPr>
          <w:i/>
          <w:lang w:val="cs-CZ"/>
        </w:rPr>
        <w:t> </w:t>
      </w:r>
      <w:r w:rsidRPr="00375A49">
        <w:rPr>
          <w:i/>
          <w:lang w:val="cs-CZ"/>
        </w:rPr>
        <w:t>oblasti</w:t>
      </w:r>
      <w:r w:rsidR="00D30CCD">
        <w:rPr>
          <w:i/>
          <w:lang w:val="cs-CZ"/>
        </w:rPr>
        <w:t xml:space="preserve"> </w:t>
      </w:r>
      <w:r w:rsidR="00D30CCD" w:rsidRPr="002461DA">
        <w:rPr>
          <w:i/>
          <w:lang w:val="cs-CZ"/>
        </w:rPr>
        <w:t>VaVaI</w:t>
      </w:r>
      <w:r w:rsidR="005E0D39">
        <w:rPr>
          <w:i/>
          <w:lang w:val="cs-CZ"/>
        </w:rPr>
        <w:t xml:space="preserve"> se zúčastnila</w:t>
      </w:r>
      <w:r w:rsidRPr="00375A49">
        <w:rPr>
          <w:i/>
          <w:lang w:val="cs-CZ"/>
        </w:rPr>
        <w:t xml:space="preserve">. Dále představí svoji vizi a strategii </w:t>
      </w:r>
      <w:r w:rsidR="00FE09EE">
        <w:rPr>
          <w:i/>
          <w:lang w:val="cs-CZ"/>
        </w:rPr>
        <w:t>na následující pětileté období</w:t>
      </w:r>
      <w:r w:rsidRPr="00375A49">
        <w:rPr>
          <w:i/>
          <w:lang w:val="cs-CZ"/>
        </w:rPr>
        <w:t xml:space="preserve">. </w:t>
      </w:r>
    </w:p>
    <w:p w:rsidR="000F31B0" w:rsidRPr="00375A49" w:rsidRDefault="000F31B0" w:rsidP="000F31B0">
      <w:pPr>
        <w:jc w:val="both"/>
        <w:rPr>
          <w:rFonts w:cstheme="minorHAnsi"/>
          <w:i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NÁSTROJE PRO NAPLŇOVÁNÍ VÝZKUMNÉ STRATEGIE</w:t>
      </w: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jc w:val="both"/>
        <w:rPr>
          <w:b/>
          <w:lang w:val="cs-CZ"/>
        </w:rPr>
      </w:pPr>
      <w:r w:rsidRPr="00375A49">
        <w:rPr>
          <w:b/>
          <w:lang w:val="cs-CZ"/>
        </w:rPr>
        <w:t xml:space="preserve">5.5 Institucionální nástroje pro naplňování výzkumné strategie s důrazem na podporu kvalitního </w:t>
      </w:r>
      <w:r w:rsidR="00F4030E">
        <w:rPr>
          <w:b/>
          <w:lang w:val="cs-CZ"/>
        </w:rPr>
        <w:t>VaVaI</w:t>
      </w:r>
      <w:r w:rsidRPr="00375A49">
        <w:rPr>
          <w:b/>
          <w:lang w:val="cs-CZ"/>
        </w:rPr>
        <w:t xml:space="preserve"> a inovativního prostředí</w:t>
      </w:r>
    </w:p>
    <w:p w:rsidR="00F46071" w:rsidRPr="00697281" w:rsidRDefault="000F31B0" w:rsidP="00697281">
      <w:pPr>
        <w:jc w:val="both"/>
        <w:rPr>
          <w:i/>
          <w:lang w:val="cs-CZ"/>
        </w:rPr>
      </w:pPr>
      <w:r w:rsidRPr="00375A49">
        <w:rPr>
          <w:i/>
          <w:lang w:val="cs-CZ"/>
        </w:rPr>
        <w:t xml:space="preserve">Vysoká škola popíše své institucionální a strategické nástroje (např. nástroje strategického řízení, nástroje vzniklé za účelem podpory realizace výzkumných cílů, právní a organizační normy ve vazbě na podporu </w:t>
      </w:r>
      <w:r w:rsidR="00F4030E">
        <w:rPr>
          <w:i/>
          <w:lang w:val="cs-CZ"/>
        </w:rPr>
        <w:t xml:space="preserve">VaVaI </w:t>
      </w:r>
      <w:r w:rsidRPr="00375A49">
        <w:rPr>
          <w:i/>
          <w:lang w:val="cs-CZ"/>
        </w:rPr>
        <w:t xml:space="preserve">atd.), které jsou určeny pro naplňování výzkumné strategie s důrazem na podporu kvalitního </w:t>
      </w:r>
      <w:r w:rsidR="00F4030E">
        <w:rPr>
          <w:i/>
          <w:lang w:val="cs-CZ"/>
        </w:rPr>
        <w:t>VaVaI</w:t>
      </w:r>
      <w:r w:rsidRPr="00375A49">
        <w:rPr>
          <w:i/>
          <w:lang w:val="cs-CZ"/>
        </w:rPr>
        <w:t xml:space="preserve"> a inovativního prostředí.</w:t>
      </w:r>
    </w:p>
    <w:p w:rsidR="004302E7" w:rsidRDefault="004302E7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4302E7" w:rsidRDefault="004302E7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F65572" w:rsidRDefault="00F65572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E92CD4" w:rsidRDefault="00E92CD4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E92CD4" w:rsidRDefault="00E92CD4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E92CD4" w:rsidRDefault="00E92CD4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E92CD4" w:rsidRDefault="00E92CD4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 xml:space="preserve">PŘÍLOHY </w:t>
      </w:r>
    </w:p>
    <w:p w:rsidR="000F31B0" w:rsidRPr="00375A49" w:rsidRDefault="000F31B0" w:rsidP="000F31B0">
      <w:pPr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contextualSpacing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b/>
          <w:lang w:val="cs-CZ"/>
        </w:rPr>
        <w:t>1. SWOT analýza</w:t>
      </w: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p w:rsidR="000F31B0" w:rsidRPr="00375A49" w:rsidRDefault="00177D38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Pozn.: V této části vysoká škola</w:t>
      </w:r>
      <w:r w:rsidR="000F31B0" w:rsidRPr="00375A49">
        <w:rPr>
          <w:rFonts w:cstheme="minorHAnsi"/>
          <w:sz w:val="20"/>
          <w:szCs w:val="20"/>
          <w:lang w:val="cs-CZ"/>
        </w:rPr>
        <w:t xml:space="preserve"> zařadí výsledek </w:t>
      </w:r>
      <w:r w:rsidR="003D736B">
        <w:rPr>
          <w:rFonts w:cstheme="minorHAnsi"/>
          <w:sz w:val="20"/>
          <w:szCs w:val="20"/>
          <w:lang w:val="cs-CZ"/>
        </w:rPr>
        <w:t>souhrnné SWOT analýzy za</w:t>
      </w:r>
      <w:r w:rsidR="000F31B0" w:rsidRPr="00375A49">
        <w:rPr>
          <w:rFonts w:cstheme="minorHAnsi"/>
          <w:sz w:val="20"/>
          <w:szCs w:val="20"/>
          <w:lang w:val="cs-CZ"/>
        </w:rPr>
        <w:t xml:space="preserve"> hodnocené moduly. SWOT analýza se řadí mezi základní metody </w:t>
      </w:r>
      <w:hyperlink r:id="rId9" w:tooltip="Strategie" w:history="1">
        <w:r w:rsidR="000F31B0" w:rsidRPr="00375A49">
          <w:rPr>
            <w:rFonts w:cstheme="minorHAnsi"/>
            <w:sz w:val="20"/>
            <w:szCs w:val="20"/>
            <w:lang w:val="cs-CZ"/>
          </w:rPr>
          <w:t>strategické</w:t>
        </w:r>
      </w:hyperlink>
      <w:r w:rsidR="000F31B0" w:rsidRPr="00375A49">
        <w:rPr>
          <w:rFonts w:cstheme="minorHAnsi"/>
          <w:sz w:val="20"/>
          <w:szCs w:val="20"/>
          <w:lang w:val="cs-CZ"/>
        </w:rPr>
        <w:t xml:space="preserve"> analýzy, a to právě z důvodu jejího integrujícího charakteru získaných, sjednocených a vyhodnocených poznatků, ze kterých jsou generovány alternativy strategií dalšího rozvoje </w:t>
      </w:r>
      <w:hyperlink r:id="rId10" w:tooltip="Organizace" w:history="1">
        <w:r w:rsidR="000F31B0" w:rsidRPr="00375A49">
          <w:rPr>
            <w:rFonts w:cstheme="minorHAnsi"/>
            <w:sz w:val="20"/>
            <w:szCs w:val="20"/>
            <w:lang w:val="cs-CZ"/>
          </w:rPr>
          <w:t>organizace</w:t>
        </w:r>
      </w:hyperlink>
      <w:r w:rsidR="000F31B0" w:rsidRPr="00375A49">
        <w:rPr>
          <w:rFonts w:cstheme="minorHAnsi"/>
          <w:sz w:val="20"/>
          <w:szCs w:val="20"/>
          <w:lang w:val="cs-CZ"/>
        </w:rPr>
        <w:t>.</w:t>
      </w:r>
    </w:p>
    <w:p w:rsidR="000F31B0" w:rsidRPr="00375A49" w:rsidRDefault="00E92CD4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 xml:space="preserve">            </w:t>
      </w:r>
      <w:r w:rsidR="000F31B0" w:rsidRPr="00375A49">
        <w:rPr>
          <w:rFonts w:cstheme="minorHAnsi"/>
          <w:sz w:val="20"/>
          <w:szCs w:val="20"/>
          <w:lang w:val="cs-CZ"/>
        </w:rPr>
        <w:t>SWOT je zkratka z anglického originálu, kde S = Strengths (Silné stránky), W = Weaknesses (Slabé stránky), O = Opportunities (Příležitosti), T = Threats (Hrozby). SWOT je tedy zkratkou pro vnitřní silné a slabé stránky organizace a příležitosti a hrozby z vnějšího prostředí organizace.</w:t>
      </w:r>
    </w:p>
    <w:p w:rsidR="000F31B0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  <w:r w:rsidRPr="00375A49">
        <w:rPr>
          <w:rFonts w:cstheme="minorHAnsi"/>
          <w:sz w:val="20"/>
          <w:szCs w:val="20"/>
          <w:lang w:val="cs-CZ"/>
        </w:rPr>
        <w:t>Popis by měl být stručný, výstižný, v přiměřeném počtu ke každé části.</w:t>
      </w:r>
    </w:p>
    <w:p w:rsidR="00BC3ACE" w:rsidRPr="00F11DA3" w:rsidRDefault="00BC3ACE" w:rsidP="000F31B0">
      <w:pPr>
        <w:spacing w:line="240" w:lineRule="atLeast"/>
        <w:jc w:val="both"/>
        <w:rPr>
          <w:rFonts w:eastAsia="OpenSymbol" w:cstheme="minorHAnsi"/>
          <w:kern w:val="1"/>
          <w:lang w:val="cs-CZ"/>
        </w:rPr>
      </w:pPr>
    </w:p>
    <w:p w:rsidR="000F31B0" w:rsidRPr="00375A49" w:rsidRDefault="000F31B0" w:rsidP="000F31B0">
      <w:pPr>
        <w:spacing w:line="240" w:lineRule="atLeast"/>
        <w:jc w:val="both"/>
        <w:rPr>
          <w:rFonts w:cstheme="minorHAnsi"/>
          <w:sz w:val="20"/>
          <w:szCs w:val="20"/>
          <w:lang w:val="cs-CZ"/>
        </w:rPr>
      </w:pPr>
    </w:p>
    <w:tbl>
      <w:tblPr>
        <w:tblStyle w:val="Mkatabulky"/>
        <w:tblW w:w="0" w:type="auto"/>
        <w:tblInd w:w="-5" w:type="dxa"/>
        <w:shd w:val="clear" w:color="auto" w:fill="F2F2F2" w:themeFill="background1" w:themeFillShade="F2"/>
        <w:tblLook w:val="04A0"/>
      </w:tblPr>
      <w:tblGrid>
        <w:gridCol w:w="846"/>
        <w:gridCol w:w="4058"/>
        <w:gridCol w:w="4383"/>
      </w:tblGrid>
      <w:tr w:rsidR="000F31B0" w:rsidRPr="00375A49" w:rsidTr="00DC1359">
        <w:trPr>
          <w:trHeight w:val="68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i/>
                <w:sz w:val="20"/>
                <w:szCs w:val="20"/>
              </w:rPr>
            </w:pP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OpenSymbol" w:cstheme="minorHAnsi"/>
                <w:b/>
                <w:sz w:val="20"/>
                <w:szCs w:val="20"/>
              </w:rPr>
            </w:pPr>
            <w:r w:rsidRPr="00375A49">
              <w:rPr>
                <w:rFonts w:eastAsia="OpenSymbol" w:cstheme="minorHAnsi"/>
                <w:b/>
                <w:sz w:val="20"/>
                <w:szCs w:val="20"/>
              </w:rPr>
              <w:t>Pozitivní faktory</w:t>
            </w: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i/>
                <w:sz w:val="20"/>
                <w:szCs w:val="20"/>
              </w:rPr>
            </w:pP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OpenSymbol" w:cstheme="minorHAnsi"/>
                <w:b/>
                <w:sz w:val="20"/>
                <w:szCs w:val="20"/>
              </w:rPr>
            </w:pPr>
            <w:r w:rsidRPr="00375A49">
              <w:rPr>
                <w:rFonts w:eastAsia="OpenSymbol" w:cstheme="minorHAnsi"/>
                <w:b/>
                <w:sz w:val="20"/>
                <w:szCs w:val="20"/>
              </w:rPr>
              <w:t>Negativní faktory</w:t>
            </w: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i/>
                <w:sz w:val="20"/>
                <w:szCs w:val="20"/>
              </w:rPr>
            </w:pPr>
          </w:p>
        </w:tc>
      </w:tr>
      <w:tr w:rsidR="000F31B0" w:rsidRPr="00375A49" w:rsidTr="00DC1359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sz w:val="20"/>
                <w:szCs w:val="20"/>
              </w:rPr>
            </w:pP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i/>
                <w:sz w:val="20"/>
                <w:szCs w:val="20"/>
              </w:rPr>
            </w:pP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i/>
                <w:sz w:val="20"/>
                <w:szCs w:val="20"/>
              </w:rPr>
            </w:pPr>
            <w:r w:rsidRPr="00375A49">
              <w:rPr>
                <w:rFonts w:eastAsia="OpenSymbol" w:cstheme="minorHAnsi"/>
                <w:b/>
                <w:i/>
                <w:sz w:val="20"/>
                <w:szCs w:val="20"/>
              </w:rPr>
              <w:t xml:space="preserve">  </w:t>
            </w: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sz w:val="20"/>
                <w:szCs w:val="20"/>
              </w:rPr>
            </w:pP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sz w:val="20"/>
                <w:szCs w:val="20"/>
              </w:rPr>
            </w:pPr>
            <w:r w:rsidRPr="00375A49">
              <w:rPr>
                <w:rFonts w:eastAsia="OpenSymbol" w:cstheme="minorHAnsi"/>
                <w:b/>
                <w:sz w:val="20"/>
                <w:szCs w:val="20"/>
              </w:rPr>
              <w:t>Vnitřní vlivy</w:t>
            </w: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OpenSymbol" w:cstheme="minorHAnsi"/>
                <w:b/>
                <w:sz w:val="20"/>
                <w:szCs w:val="20"/>
              </w:rPr>
            </w:pPr>
            <w:r w:rsidRPr="00375A49">
              <w:rPr>
                <w:rFonts w:eastAsia="OpenSymbol" w:cstheme="minorHAnsi"/>
                <w:b/>
                <w:sz w:val="20"/>
                <w:szCs w:val="20"/>
              </w:rPr>
              <w:t>Silné stránky VO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OpenSymbol" w:cstheme="minorHAnsi"/>
                <w:b/>
                <w:sz w:val="20"/>
                <w:szCs w:val="20"/>
              </w:rPr>
            </w:pPr>
            <w:r w:rsidRPr="00375A49">
              <w:rPr>
                <w:rFonts w:eastAsia="OpenSymbol" w:cstheme="minorHAnsi"/>
                <w:b/>
                <w:sz w:val="20"/>
                <w:szCs w:val="20"/>
              </w:rPr>
              <w:t>Slabé stránky VO</w:t>
            </w:r>
          </w:p>
        </w:tc>
      </w:tr>
      <w:tr w:rsidR="000F31B0" w:rsidRPr="00375A49" w:rsidTr="00DC13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31B0" w:rsidRPr="00375A49" w:rsidRDefault="000F31B0" w:rsidP="00DC1359">
            <w:pPr>
              <w:spacing w:line="240" w:lineRule="atLeast"/>
              <w:jc w:val="both"/>
              <w:rPr>
                <w:rFonts w:eastAsia="OpenSymbol" w:cstheme="minorHAnsi"/>
                <w:b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i/>
                <w:sz w:val="20"/>
                <w:szCs w:val="20"/>
              </w:rPr>
            </w:pPr>
          </w:p>
          <w:p w:rsidR="000F31B0" w:rsidRPr="00375A49" w:rsidRDefault="00177D38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sz w:val="20"/>
                <w:szCs w:val="20"/>
              </w:rPr>
            </w:pPr>
            <w:r>
              <w:rPr>
                <w:rFonts w:eastAsia="OpenSymbol" w:cstheme="minorHAnsi"/>
                <w:sz w:val="20"/>
                <w:szCs w:val="20"/>
              </w:rPr>
              <w:t>Vysoká škola</w:t>
            </w:r>
            <w:r w:rsidR="000F31B0" w:rsidRPr="00375A49">
              <w:rPr>
                <w:rFonts w:eastAsia="OpenSymbol" w:cstheme="minorHAnsi"/>
                <w:sz w:val="20"/>
                <w:szCs w:val="20"/>
              </w:rPr>
              <w:t xml:space="preserve"> heslovitě uvede ty své stránky, které považuje za nejlepší v rámci dané oblasti hodnocení. Jedná </w:t>
            </w:r>
            <w:r w:rsidR="007F05BF">
              <w:rPr>
                <w:rFonts w:eastAsia="OpenSymbol" w:cstheme="minorHAnsi"/>
                <w:sz w:val="20"/>
                <w:szCs w:val="20"/>
              </w:rPr>
              <w:t xml:space="preserve">se </w:t>
            </w:r>
            <w:r w:rsidR="000F31B0" w:rsidRPr="00375A49">
              <w:rPr>
                <w:rFonts w:eastAsia="OpenSymbol" w:cstheme="minorHAnsi"/>
                <w:sz w:val="20"/>
                <w:szCs w:val="20"/>
              </w:rPr>
              <w:t>o aktivity a činnosti, které jsou zcela v jejím vlivu. Příklady:</w:t>
            </w:r>
          </w:p>
          <w:p w:rsidR="000F31B0" w:rsidRPr="00375A49" w:rsidRDefault="003D736B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sz w:val="20"/>
                <w:szCs w:val="20"/>
              </w:rPr>
            </w:pPr>
            <w:r>
              <w:rPr>
                <w:rFonts w:eastAsia="OpenSymbol" w:cstheme="minorHAnsi"/>
                <w:sz w:val="20"/>
                <w:szCs w:val="20"/>
              </w:rPr>
              <w:t xml:space="preserve">1. </w:t>
            </w:r>
            <w:r w:rsidR="000F31B0" w:rsidRPr="00375A49">
              <w:rPr>
                <w:rFonts w:eastAsia="OpenSymbol" w:cstheme="minorHAnsi"/>
                <w:sz w:val="20"/>
                <w:szCs w:val="20"/>
              </w:rPr>
              <w:t>Stabilní a vysoce kvalifikované vědecké týmy</w:t>
            </w:r>
          </w:p>
          <w:p w:rsidR="000F31B0" w:rsidRPr="00375A49" w:rsidRDefault="003D736B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i/>
                <w:sz w:val="20"/>
                <w:szCs w:val="20"/>
              </w:rPr>
            </w:pPr>
            <w:r>
              <w:rPr>
                <w:rFonts w:eastAsia="OpenSymbol" w:cstheme="minorHAnsi"/>
                <w:sz w:val="20"/>
                <w:szCs w:val="20"/>
              </w:rPr>
              <w:t xml:space="preserve">2. </w:t>
            </w:r>
            <w:r w:rsidR="000F31B0" w:rsidRPr="00375A49">
              <w:rPr>
                <w:rFonts w:eastAsia="OpenSymbol" w:cstheme="minorHAnsi"/>
                <w:sz w:val="20"/>
                <w:szCs w:val="20"/>
              </w:rPr>
              <w:t>Unikátní laboratorní vybavení v oboru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i/>
                <w:sz w:val="20"/>
                <w:szCs w:val="20"/>
              </w:rPr>
            </w:pPr>
          </w:p>
          <w:p w:rsidR="000F31B0" w:rsidRPr="00375A49" w:rsidRDefault="00177D38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sz w:val="20"/>
                <w:szCs w:val="20"/>
              </w:rPr>
            </w:pPr>
            <w:r w:rsidRPr="00177D38">
              <w:rPr>
                <w:rFonts w:eastAsia="OpenSymbol" w:cstheme="minorHAnsi"/>
                <w:sz w:val="20"/>
                <w:szCs w:val="20"/>
              </w:rPr>
              <w:t>Vysoká škola</w:t>
            </w:r>
            <w:r w:rsidR="000F31B0" w:rsidRPr="00375A49">
              <w:rPr>
                <w:rFonts w:eastAsia="OpenSymbol" w:cstheme="minorHAnsi"/>
                <w:sz w:val="20"/>
                <w:szCs w:val="20"/>
              </w:rPr>
              <w:t xml:space="preserve"> heslovitě uvede ty své oblasti, které považuje za nejméně rozvinuté a kvalitní v rámci dané oblasti hodnocení. Jedná</w:t>
            </w:r>
            <w:r w:rsidR="007F05BF">
              <w:rPr>
                <w:rFonts w:eastAsia="OpenSymbol" w:cstheme="minorHAnsi"/>
                <w:sz w:val="20"/>
                <w:szCs w:val="20"/>
              </w:rPr>
              <w:t xml:space="preserve"> se</w:t>
            </w:r>
            <w:r w:rsidR="000F31B0" w:rsidRPr="00375A49">
              <w:rPr>
                <w:rFonts w:eastAsia="OpenSymbol" w:cstheme="minorHAnsi"/>
                <w:sz w:val="20"/>
                <w:szCs w:val="20"/>
              </w:rPr>
              <w:t xml:space="preserve"> o aktivi</w:t>
            </w:r>
            <w:r w:rsidR="00EF2591">
              <w:rPr>
                <w:rFonts w:eastAsia="OpenSymbol" w:cstheme="minorHAnsi"/>
                <w:sz w:val="20"/>
                <w:szCs w:val="20"/>
              </w:rPr>
              <w:t>ty a </w:t>
            </w:r>
            <w:r w:rsidR="000F31B0" w:rsidRPr="00375A49">
              <w:rPr>
                <w:rFonts w:eastAsia="OpenSymbol" w:cstheme="minorHAnsi"/>
                <w:sz w:val="20"/>
                <w:szCs w:val="20"/>
              </w:rPr>
              <w:t>činnosti, které jsou zcela v jejím vlivu a jejich zlepšení předpokládá zvýšené úsilí o zlepšení ze strany VO. Příklady:</w:t>
            </w:r>
          </w:p>
          <w:p w:rsidR="000F31B0" w:rsidRPr="00375A49" w:rsidRDefault="003D736B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sz w:val="20"/>
                <w:szCs w:val="20"/>
              </w:rPr>
            </w:pPr>
            <w:r>
              <w:rPr>
                <w:rFonts w:eastAsia="OpenSymbol" w:cstheme="minorHAnsi"/>
                <w:sz w:val="20"/>
                <w:szCs w:val="20"/>
              </w:rPr>
              <w:t xml:space="preserve">1. </w:t>
            </w:r>
            <w:r w:rsidR="000F31B0" w:rsidRPr="00375A49">
              <w:rPr>
                <w:rFonts w:eastAsia="OpenSymbol" w:cstheme="minorHAnsi"/>
                <w:sz w:val="20"/>
                <w:szCs w:val="20"/>
              </w:rPr>
              <w:t xml:space="preserve">Chybějící laboratorní vybavení </w:t>
            </w:r>
          </w:p>
          <w:p w:rsidR="000F31B0" w:rsidRPr="00375A49" w:rsidRDefault="003D736B" w:rsidP="003D736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OpenSymbol" w:cstheme="minorHAnsi"/>
                <w:sz w:val="20"/>
                <w:szCs w:val="20"/>
              </w:rPr>
            </w:pPr>
            <w:r>
              <w:rPr>
                <w:rFonts w:eastAsia="OpenSymbol" w:cstheme="minorHAnsi"/>
                <w:sz w:val="20"/>
                <w:szCs w:val="20"/>
              </w:rPr>
              <w:t xml:space="preserve">2. </w:t>
            </w:r>
            <w:r w:rsidR="000F31B0" w:rsidRPr="00375A49">
              <w:rPr>
                <w:rFonts w:eastAsia="OpenSymbol" w:cstheme="minorHAnsi"/>
                <w:sz w:val="20"/>
                <w:szCs w:val="20"/>
              </w:rPr>
              <w:t>Nedostatečné administrativní zázemí pro vědecké pracovníky</w:t>
            </w: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i/>
                <w:sz w:val="20"/>
                <w:szCs w:val="20"/>
              </w:rPr>
            </w:pPr>
          </w:p>
        </w:tc>
      </w:tr>
      <w:tr w:rsidR="000F31B0" w:rsidRPr="00375A49" w:rsidTr="00DC1359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i/>
                <w:sz w:val="20"/>
                <w:szCs w:val="20"/>
              </w:rPr>
            </w:pP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i/>
                <w:sz w:val="20"/>
                <w:szCs w:val="20"/>
              </w:rPr>
            </w:pP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sz w:val="20"/>
                <w:szCs w:val="20"/>
              </w:rPr>
            </w:pP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b/>
                <w:i/>
                <w:sz w:val="20"/>
                <w:szCs w:val="20"/>
              </w:rPr>
            </w:pPr>
            <w:r w:rsidRPr="00375A49">
              <w:rPr>
                <w:rFonts w:eastAsia="OpenSymbol" w:cstheme="minorHAnsi"/>
                <w:b/>
                <w:sz w:val="20"/>
                <w:szCs w:val="20"/>
              </w:rPr>
              <w:t>Vnější vlivy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OpenSymbol" w:cstheme="minorHAnsi"/>
                <w:b/>
                <w:sz w:val="20"/>
                <w:szCs w:val="20"/>
              </w:rPr>
            </w:pPr>
            <w:r w:rsidRPr="00375A49">
              <w:rPr>
                <w:rFonts w:eastAsia="OpenSymbol" w:cstheme="minorHAnsi"/>
                <w:b/>
                <w:sz w:val="20"/>
                <w:szCs w:val="20"/>
              </w:rPr>
              <w:t>Příležitosti pro VO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OpenSymbol" w:cstheme="minorHAnsi"/>
                <w:b/>
                <w:sz w:val="20"/>
                <w:szCs w:val="20"/>
              </w:rPr>
            </w:pPr>
            <w:r w:rsidRPr="00375A49">
              <w:rPr>
                <w:rFonts w:eastAsia="OpenSymbol" w:cstheme="minorHAnsi"/>
                <w:b/>
                <w:sz w:val="20"/>
                <w:szCs w:val="20"/>
              </w:rPr>
              <w:t>Ohrožení VO</w:t>
            </w:r>
          </w:p>
        </w:tc>
      </w:tr>
      <w:tr w:rsidR="000F31B0" w:rsidRPr="0099636E" w:rsidTr="00DC13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31B0" w:rsidRPr="00375A49" w:rsidRDefault="000F31B0" w:rsidP="00DC1359">
            <w:pPr>
              <w:spacing w:line="240" w:lineRule="atLeast"/>
              <w:jc w:val="both"/>
              <w:rPr>
                <w:rFonts w:eastAsia="OpenSymbol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sz w:val="20"/>
                <w:szCs w:val="20"/>
              </w:rPr>
            </w:pPr>
          </w:p>
          <w:p w:rsidR="000F31B0" w:rsidRPr="00375A49" w:rsidRDefault="00B64D29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sz w:val="20"/>
                <w:szCs w:val="20"/>
              </w:rPr>
            </w:pPr>
            <w:r w:rsidRPr="00B64D29">
              <w:rPr>
                <w:rFonts w:eastAsia="OpenSymbol" w:cstheme="minorHAnsi"/>
                <w:sz w:val="20"/>
                <w:szCs w:val="20"/>
              </w:rPr>
              <w:t>Vysoká škola</w:t>
            </w:r>
            <w:r w:rsidR="000F31B0" w:rsidRPr="00375A49">
              <w:rPr>
                <w:rFonts w:eastAsia="OpenSymbol" w:cstheme="minorHAnsi"/>
                <w:sz w:val="20"/>
                <w:szCs w:val="20"/>
              </w:rPr>
              <w:t xml:space="preserve"> uvede heslovitě možnosti a</w:t>
            </w:r>
            <w:r w:rsidR="00EF2591">
              <w:rPr>
                <w:rFonts w:eastAsia="OpenSymbol" w:cstheme="minorHAnsi"/>
                <w:sz w:val="20"/>
                <w:szCs w:val="20"/>
              </w:rPr>
              <w:t> </w:t>
            </w:r>
            <w:r w:rsidR="000F31B0" w:rsidRPr="00375A49">
              <w:rPr>
                <w:rFonts w:eastAsia="OpenSymbol" w:cstheme="minorHAnsi"/>
                <w:sz w:val="20"/>
                <w:szCs w:val="20"/>
              </w:rPr>
              <w:t>zdroje, které může využít ve svůj prospěch, ale nemůže je nijak ovlivnit.</w:t>
            </w: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sz w:val="20"/>
                <w:szCs w:val="20"/>
              </w:rPr>
            </w:pPr>
            <w:r w:rsidRPr="00375A49">
              <w:rPr>
                <w:rFonts w:eastAsia="OpenSymbol" w:cstheme="minorHAnsi"/>
                <w:sz w:val="20"/>
                <w:szCs w:val="20"/>
              </w:rPr>
              <w:t xml:space="preserve">Např. využití programů vyhlašovaných jednotlivými poskytovateli </w:t>
            </w: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sz w:val="20"/>
                <w:szCs w:val="20"/>
              </w:rPr>
            </w:pPr>
          </w:p>
          <w:p w:rsidR="000F31B0" w:rsidRPr="00375A49" w:rsidRDefault="00B64D29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sz w:val="20"/>
                <w:szCs w:val="20"/>
              </w:rPr>
            </w:pPr>
            <w:r w:rsidRPr="00B64D29">
              <w:rPr>
                <w:rFonts w:eastAsia="OpenSymbol" w:cstheme="minorHAnsi"/>
                <w:sz w:val="20"/>
                <w:szCs w:val="20"/>
              </w:rPr>
              <w:t>Vysoká škola</w:t>
            </w:r>
            <w:r w:rsidR="000F31B0" w:rsidRPr="00375A49">
              <w:rPr>
                <w:rFonts w:eastAsia="OpenSymbol" w:cstheme="minorHAnsi"/>
                <w:sz w:val="20"/>
                <w:szCs w:val="20"/>
              </w:rPr>
              <w:t xml:space="preserve"> heslovitě uvede situace a stavy vně VO, které nemůže nijak ovlivnit, ale které mohou ohrozit její stabilitu, rozvoj a plánované cíle. Zpravidla jsou v institucích řešeny formou identifikace rizik a jejich řízení.</w:t>
            </w: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sz w:val="20"/>
                <w:szCs w:val="20"/>
              </w:rPr>
            </w:pPr>
            <w:r w:rsidRPr="00375A49">
              <w:rPr>
                <w:rFonts w:eastAsia="OpenSymbol" w:cstheme="minorHAnsi"/>
                <w:sz w:val="20"/>
                <w:szCs w:val="20"/>
              </w:rPr>
              <w:t xml:space="preserve">Např. omezení výdajů na </w:t>
            </w:r>
            <w:r w:rsidR="00D30CCD" w:rsidRPr="002461DA">
              <w:rPr>
                <w:rFonts w:eastAsia="OpenSymbol" w:cstheme="minorHAnsi"/>
                <w:sz w:val="20"/>
                <w:szCs w:val="20"/>
              </w:rPr>
              <w:t>VaVaI</w:t>
            </w:r>
            <w:r w:rsidRPr="00375A49">
              <w:rPr>
                <w:rFonts w:eastAsia="OpenSymbol" w:cstheme="minorHAnsi"/>
                <w:sz w:val="20"/>
                <w:szCs w:val="20"/>
              </w:rPr>
              <w:t xml:space="preserve"> ze státního rozpočtu ČR</w:t>
            </w:r>
          </w:p>
          <w:p w:rsidR="000F31B0" w:rsidRPr="00375A49" w:rsidRDefault="000F31B0" w:rsidP="00DC13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OpenSymbol" w:cstheme="minorHAnsi"/>
                <w:i/>
                <w:sz w:val="20"/>
                <w:szCs w:val="20"/>
              </w:rPr>
            </w:pPr>
          </w:p>
        </w:tc>
      </w:tr>
    </w:tbl>
    <w:p w:rsidR="00697281" w:rsidRDefault="00697281" w:rsidP="000F31B0">
      <w:pPr>
        <w:widowControl w:val="0"/>
        <w:autoSpaceDE w:val="0"/>
        <w:autoSpaceDN w:val="0"/>
        <w:adjustRightInd w:val="0"/>
        <w:spacing w:line="240" w:lineRule="atLeast"/>
        <w:contextualSpacing/>
        <w:jc w:val="both"/>
        <w:rPr>
          <w:rFonts w:cstheme="minorHAnsi"/>
          <w:b/>
          <w:lang w:val="cs-CZ"/>
        </w:rPr>
      </w:pPr>
    </w:p>
    <w:p w:rsidR="000F31B0" w:rsidRPr="00375A49" w:rsidRDefault="00BC3ACE" w:rsidP="000F31B0">
      <w:pPr>
        <w:widowControl w:val="0"/>
        <w:autoSpaceDE w:val="0"/>
        <w:autoSpaceDN w:val="0"/>
        <w:adjustRightInd w:val="0"/>
        <w:spacing w:line="240" w:lineRule="atLeast"/>
        <w:contextualSpacing/>
        <w:jc w:val="both"/>
        <w:rPr>
          <w:rFonts w:cstheme="minorHAnsi"/>
          <w:b/>
          <w:lang w:val="cs-CZ"/>
        </w:rPr>
      </w:pPr>
      <w:r>
        <w:rPr>
          <w:rFonts w:cstheme="minorHAnsi"/>
          <w:b/>
          <w:lang w:val="cs-CZ"/>
        </w:rPr>
        <w:t>2</w:t>
      </w:r>
      <w:r w:rsidR="000F31B0" w:rsidRPr="00375A49">
        <w:rPr>
          <w:rFonts w:cstheme="minorHAnsi"/>
          <w:b/>
          <w:lang w:val="cs-CZ"/>
        </w:rPr>
        <w:t>. Materiály dle výběru</w:t>
      </w: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contextualSpacing/>
        <w:jc w:val="both"/>
        <w:rPr>
          <w:rFonts w:cstheme="minorHAnsi"/>
          <w:b/>
          <w:lang w:val="cs-CZ"/>
        </w:rPr>
      </w:pP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contextualSpacing/>
        <w:jc w:val="both"/>
        <w:rPr>
          <w:rFonts w:cstheme="minorHAnsi"/>
          <w:b/>
          <w:lang w:val="cs-CZ"/>
        </w:rPr>
      </w:pPr>
      <w:r w:rsidRPr="00375A49">
        <w:rPr>
          <w:rFonts w:cstheme="minorHAnsi"/>
          <w:sz w:val="20"/>
          <w:szCs w:val="20"/>
          <w:lang w:val="cs-CZ"/>
        </w:rPr>
        <w:t>Pozn.: Vysoká škola přiloží dle svého výběru další materiály, které jsou z jejího pohledu pro hodnocení relevantní, popř. na ně uvede funkční odkazy.</w:t>
      </w:r>
    </w:p>
    <w:p w:rsidR="000F31B0" w:rsidRPr="00375A49" w:rsidRDefault="000F31B0" w:rsidP="000F31B0">
      <w:pPr>
        <w:widowControl w:val="0"/>
        <w:autoSpaceDE w:val="0"/>
        <w:autoSpaceDN w:val="0"/>
        <w:adjustRightInd w:val="0"/>
        <w:spacing w:line="240" w:lineRule="atLeast"/>
        <w:contextualSpacing/>
        <w:jc w:val="both"/>
        <w:rPr>
          <w:b/>
          <w:lang w:val="cs-CZ"/>
        </w:rPr>
      </w:pPr>
    </w:p>
    <w:p w:rsidR="000C0F61" w:rsidRPr="00BC3ACE" w:rsidRDefault="000F31B0">
      <w:pPr>
        <w:rPr>
          <w:rFonts w:cstheme="minorHAnsi"/>
          <w:b/>
          <w:bCs/>
          <w:lang w:val="cs-CZ"/>
        </w:rPr>
      </w:pPr>
      <w:r w:rsidRPr="00375A49">
        <w:rPr>
          <w:rFonts w:cstheme="minorHAnsi"/>
          <w:b/>
          <w:sz w:val="26"/>
          <w:szCs w:val="26"/>
          <w:lang w:val="cs-CZ"/>
        </w:rPr>
        <w:br w:type="page"/>
      </w:r>
    </w:p>
    <w:p w:rsidR="004302E7" w:rsidRPr="004302E7" w:rsidRDefault="00D520ED" w:rsidP="004302E7">
      <w:pPr>
        <w:pStyle w:val="Nadpis1"/>
      </w:pPr>
      <w:bookmarkStart w:id="59" w:name="_Toc7772763"/>
      <w:bookmarkStart w:id="60" w:name="_Toc11664133"/>
      <w:r w:rsidRPr="00375A49">
        <w:lastRenderedPageBreak/>
        <w:t>ČÁST I</w:t>
      </w:r>
      <w:r w:rsidR="00714EC8">
        <w:t>II</w:t>
      </w:r>
      <w:bookmarkEnd w:id="59"/>
      <w:bookmarkEnd w:id="60"/>
    </w:p>
    <w:p w:rsidR="00EB12A1" w:rsidRPr="00EB12A1" w:rsidRDefault="00EB12A1" w:rsidP="00EB12A1">
      <w:pPr>
        <w:pStyle w:val="Odstavecseseznamem"/>
        <w:keepNext/>
        <w:keepLines/>
        <w:numPr>
          <w:ilvl w:val="0"/>
          <w:numId w:val="14"/>
        </w:numPr>
        <w:spacing w:before="200" w:line="276" w:lineRule="auto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26"/>
          <w:lang w:val="cs-CZ"/>
        </w:rPr>
      </w:pPr>
      <w:bookmarkStart w:id="61" w:name="_Toc6492913"/>
      <w:bookmarkStart w:id="62" w:name="_Toc6492996"/>
      <w:bookmarkStart w:id="63" w:name="_Toc6493580"/>
      <w:bookmarkStart w:id="64" w:name="_Toc6493791"/>
      <w:bookmarkStart w:id="65" w:name="_Toc6493952"/>
      <w:bookmarkStart w:id="66" w:name="_Toc6993907"/>
      <w:bookmarkStart w:id="67" w:name="_Toc6994996"/>
      <w:bookmarkStart w:id="68" w:name="_Toc7153052"/>
      <w:bookmarkStart w:id="69" w:name="_Toc7162811"/>
      <w:bookmarkStart w:id="70" w:name="_Toc7163649"/>
      <w:bookmarkStart w:id="71" w:name="_Toc7163680"/>
      <w:bookmarkStart w:id="72" w:name="_Toc7169343"/>
      <w:bookmarkStart w:id="73" w:name="_Toc7416049"/>
      <w:bookmarkStart w:id="74" w:name="_Toc7416075"/>
      <w:bookmarkStart w:id="75" w:name="_Toc7439373"/>
      <w:bookmarkStart w:id="76" w:name="_Toc7440423"/>
      <w:bookmarkStart w:id="77" w:name="_Toc7440669"/>
      <w:bookmarkStart w:id="78" w:name="_Toc7683974"/>
      <w:bookmarkStart w:id="79" w:name="_Toc7771968"/>
      <w:bookmarkStart w:id="80" w:name="_Toc7772006"/>
      <w:bookmarkStart w:id="81" w:name="_Toc7772764"/>
      <w:bookmarkStart w:id="82" w:name="_Toc7772802"/>
      <w:bookmarkStart w:id="83" w:name="_Toc7772872"/>
      <w:bookmarkStart w:id="84" w:name="_Toc7773339"/>
      <w:bookmarkStart w:id="85" w:name="_Toc7773378"/>
      <w:bookmarkStart w:id="86" w:name="_Toc9404005"/>
      <w:bookmarkStart w:id="87" w:name="_Toc9404503"/>
      <w:bookmarkStart w:id="88" w:name="_Toc9404715"/>
      <w:bookmarkStart w:id="89" w:name="_Toc9420177"/>
      <w:bookmarkStart w:id="90" w:name="_Toc11405431"/>
      <w:bookmarkStart w:id="91" w:name="_Toc11408543"/>
      <w:bookmarkStart w:id="92" w:name="_Toc11408698"/>
      <w:bookmarkStart w:id="93" w:name="_Toc11663805"/>
      <w:bookmarkStart w:id="94" w:name="_Toc11663849"/>
      <w:bookmarkStart w:id="95" w:name="_Toc11663887"/>
      <w:bookmarkStart w:id="96" w:name="_Toc11663925"/>
      <w:bookmarkStart w:id="97" w:name="_Toc11664134"/>
      <w:bookmarkStart w:id="98" w:name="_Toc5133499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:rsidR="00BC3ACE" w:rsidRPr="00375A49" w:rsidRDefault="00BC3ACE" w:rsidP="00BC3ACE">
      <w:pPr>
        <w:pStyle w:val="Nadpis2"/>
        <w:numPr>
          <w:ilvl w:val="1"/>
          <w:numId w:val="14"/>
        </w:numPr>
      </w:pPr>
      <w:bookmarkStart w:id="99" w:name="_Toc6493953"/>
      <w:bookmarkStart w:id="100" w:name="_Toc7772765"/>
      <w:bookmarkStart w:id="101" w:name="_Toc11664135"/>
      <w:bookmarkEnd w:id="98"/>
      <w:r>
        <w:t xml:space="preserve">HODNOCENÍ </w:t>
      </w:r>
      <w:r w:rsidRPr="00375A49">
        <w:t>VEŘEJNÉ A SOUKROMÉ VYSOKÉ ŠKOLY V MODULECH  M3-M5</w:t>
      </w:r>
      <w:bookmarkEnd w:id="99"/>
      <w:bookmarkEnd w:id="100"/>
      <w:bookmarkEnd w:id="101"/>
    </w:p>
    <w:p w:rsidR="00BC3ACE" w:rsidRPr="00375A49" w:rsidRDefault="00BC3ACE" w:rsidP="00BC3AC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sz w:val="16"/>
          <w:szCs w:val="16"/>
          <w:lang w:val="cs-CZ"/>
        </w:rPr>
      </w:pPr>
    </w:p>
    <w:p w:rsidR="00BC3ACE" w:rsidRPr="00375A49" w:rsidRDefault="00BC3ACE" w:rsidP="00EC0B12">
      <w:pPr>
        <w:pStyle w:val="Nadpis3"/>
      </w:pPr>
      <w:bookmarkStart w:id="102" w:name="_Toc5133500"/>
      <w:bookmarkStart w:id="103" w:name="_Toc6493954"/>
      <w:bookmarkStart w:id="104" w:name="_Toc7772766"/>
      <w:bookmarkStart w:id="105" w:name="_Toc11664136"/>
      <w:r w:rsidRPr="00375A49">
        <w:t>KALIBRACE A BODOVÉ HODNOCENÍ MODULU M3</w:t>
      </w:r>
      <w:bookmarkEnd w:id="102"/>
      <w:bookmarkEnd w:id="103"/>
      <w:bookmarkEnd w:id="104"/>
      <w:bookmarkEnd w:id="105"/>
    </w:p>
    <w:p w:rsidR="00BC3ACE" w:rsidRPr="00375A49" w:rsidRDefault="00BC3ACE" w:rsidP="00BC3ACE">
      <w:pPr>
        <w:pStyle w:val="W3MUZkonOdstavecslovan"/>
        <w:jc w:val="both"/>
        <w:outlineLvl w:val="9"/>
        <w:rPr>
          <w:rFonts w:asciiTheme="minorHAnsi" w:hAnsiTheme="minorHAnsi" w:cstheme="minorHAnsi"/>
          <w:sz w:val="22"/>
        </w:rPr>
      </w:pPr>
    </w:p>
    <w:p w:rsidR="00BC3ACE" w:rsidRDefault="00BC3ACE" w:rsidP="00BC3ACE">
      <w:pPr>
        <w:pStyle w:val="Styl123"/>
        <w:outlineLvl w:val="9"/>
      </w:pPr>
      <w:bookmarkStart w:id="106" w:name="_Toc5119903"/>
      <w:r w:rsidRPr="00F717E2">
        <w:t xml:space="preserve">Modul M3 je důležitý zejména pro vysoké školy, které provádějí </w:t>
      </w:r>
      <w:r w:rsidRPr="002461DA">
        <w:t>aplikovaný výzkum</w:t>
      </w:r>
      <w:r w:rsidR="00D12384">
        <w:t xml:space="preserve">, </w:t>
      </w:r>
      <w:r w:rsidRPr="00F717E2">
        <w:t xml:space="preserve">přímo slouží uživatelům, jako jsou průmyslová odvětví, veřejný sektor nebo jiné výzkumné organizace. </w:t>
      </w:r>
    </w:p>
    <w:p w:rsidR="00AF40F0" w:rsidRDefault="00BC3ACE" w:rsidP="00BC3ACE">
      <w:pPr>
        <w:pStyle w:val="Styl123"/>
        <w:outlineLvl w:val="9"/>
      </w:pPr>
      <w:r w:rsidRPr="00375A49">
        <w:t>Hodnocenou jednotkou v</w:t>
      </w:r>
      <w:r>
        <w:t xml:space="preserve"> modulu </w:t>
      </w:r>
      <w:r w:rsidRPr="00375A49">
        <w:t>M3 je fakulta nebo jiná relevantní součást vysoké školy</w:t>
      </w:r>
      <w:r w:rsidR="008C4E30">
        <w:rPr>
          <w:rStyle w:val="Znakapoznpodarou"/>
        </w:rPr>
        <w:footnoteReference w:id="19"/>
      </w:r>
      <w:r w:rsidRPr="00375A49">
        <w:t xml:space="preserve">, např. ústav. </w:t>
      </w:r>
    </w:p>
    <w:p w:rsidR="00D12384" w:rsidRDefault="00D12384" w:rsidP="00D12384">
      <w:pPr>
        <w:pStyle w:val="Nzev"/>
        <w:outlineLvl w:val="9"/>
      </w:pPr>
      <w:r w:rsidRPr="00375A49">
        <w:t xml:space="preserve">Z důvodu rozdílné </w:t>
      </w:r>
      <w:r>
        <w:t xml:space="preserve">relevance </w:t>
      </w:r>
      <w:r w:rsidRPr="00375A49">
        <w:t xml:space="preserve">jednotlivých kritérií pro různé kategorie FORD </w:t>
      </w:r>
      <w:r>
        <w:t>jsou v</w:t>
      </w:r>
      <w:r w:rsidRPr="00375A49">
        <w:t xml:space="preserve"> </w:t>
      </w:r>
      <w:r>
        <w:t xml:space="preserve">modulu </w:t>
      </w:r>
      <w:r w:rsidRPr="00375A49">
        <w:t xml:space="preserve">M3 </w:t>
      </w:r>
      <w:r>
        <w:t>vyjádřeny tyto</w:t>
      </w:r>
      <w:r w:rsidRPr="00375A49">
        <w:t xml:space="preserve"> </w:t>
      </w:r>
      <w:r>
        <w:t xml:space="preserve">indikativní </w:t>
      </w:r>
      <w:r w:rsidRPr="00375A49">
        <w:t>relevanc</w:t>
      </w:r>
      <w:r>
        <w:t>e</w:t>
      </w:r>
      <w:r w:rsidRPr="00375A49">
        <w:t xml:space="preserve"> pro každé kritérium v rámci 6 kategorií FORD prostřednictvím počtu hvězdiček.</w:t>
      </w:r>
    </w:p>
    <w:p w:rsidR="00AF40F0" w:rsidRDefault="00AF40F0" w:rsidP="00BC3ACE">
      <w:pPr>
        <w:pStyle w:val="Styl123"/>
        <w:outlineLvl w:val="9"/>
      </w:pPr>
      <w:r w:rsidRPr="00436227">
        <w:t>Každá hodnocená jednotka se přihlásí do jedné oborové skupiny (dále jen „kategorie FORD“)</w:t>
      </w:r>
      <w:r w:rsidR="00DA3B7D">
        <w:t xml:space="preserve">, která je relevantní </w:t>
      </w:r>
      <w:r w:rsidR="00497C2D">
        <w:t xml:space="preserve">jen </w:t>
      </w:r>
      <w:r w:rsidR="00DA3B7D">
        <w:t xml:space="preserve">pro účely </w:t>
      </w:r>
      <w:r w:rsidR="00364D8D">
        <w:t>k</w:t>
      </w:r>
      <w:r w:rsidR="00364D8D" w:rsidRPr="00364D8D">
        <w:t>alibrace</w:t>
      </w:r>
      <w:r w:rsidR="00364D8D">
        <w:t xml:space="preserve">. </w:t>
      </w:r>
      <w:r w:rsidR="00497C2D">
        <w:t>H</w:t>
      </w:r>
      <w:r w:rsidR="00364D8D">
        <w:t>odnocen</w:t>
      </w:r>
      <w:r w:rsidR="00497C2D">
        <w:t>y</w:t>
      </w:r>
      <w:r w:rsidR="00364D8D">
        <w:t xml:space="preserve"> jsou </w:t>
      </w:r>
      <w:r w:rsidR="00364D8D" w:rsidRPr="00364D8D">
        <w:t>všechny</w:t>
      </w:r>
      <w:r w:rsidR="00364D8D">
        <w:t xml:space="preserve"> projekty a výsledky všech oborových skupin realizovaných</w:t>
      </w:r>
      <w:r w:rsidR="00364D8D" w:rsidRPr="00364D8D">
        <w:t xml:space="preserve"> hodnocenou jednotkou.</w:t>
      </w:r>
    </w:p>
    <w:p w:rsidR="00BC3ACE" w:rsidRPr="00375A49" w:rsidRDefault="00BC3ACE" w:rsidP="00BC3ACE">
      <w:pPr>
        <w:pStyle w:val="Nzev"/>
        <w:outlineLvl w:val="9"/>
      </w:pPr>
      <w:bookmarkStart w:id="107" w:name="_Toc5119905"/>
      <w:bookmarkEnd w:id="106"/>
      <w:r>
        <w:t>Indikativní r</w:t>
      </w:r>
      <w:r w:rsidRPr="00375A49">
        <w:t>elevance každého kritéria (počet hvězdiček) je v</w:t>
      </w:r>
      <w:r>
        <w:t xml:space="preserve"> modulu </w:t>
      </w:r>
      <w:r w:rsidRPr="00375A49">
        <w:t>M3 definována následovně:</w:t>
      </w:r>
      <w:bookmarkEnd w:id="107"/>
      <w:r w:rsidRPr="00375A49">
        <w:t xml:space="preserve"> 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363697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RELEVANCE KRITÉRIÍ V KATEGORIÍCH FORD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08" w:name="_Toc5119906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08"/>
            <w:r w:rsidR="005669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Vysoce relevantní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09" w:name="_Toc5119907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09"/>
            <w:r w:rsidR="005669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Významně relevantní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10" w:name="_Toc5119908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10"/>
            <w:r w:rsidR="00692C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5669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Relevantní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11" w:name="_Toc5119909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11"/>
            <w:r w:rsidR="00692C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5669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Částečně relevantní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bookmarkStart w:id="112" w:name="_Toc5119910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12"/>
            <w:r w:rsidR="005669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Málo relevantní</w:t>
            </w:r>
          </w:p>
        </w:tc>
      </w:tr>
    </w:tbl>
    <w:p w:rsidR="00BC3ACE" w:rsidRPr="00375A49" w:rsidRDefault="00BC3ACE" w:rsidP="00BC3ACE">
      <w:pPr>
        <w:jc w:val="both"/>
        <w:rPr>
          <w:b/>
          <w:lang w:val="cs-CZ"/>
        </w:rPr>
      </w:pPr>
    </w:p>
    <w:p w:rsidR="00BC3ACE" w:rsidRPr="00375A49" w:rsidRDefault="00BC3ACE" w:rsidP="00BC3ACE">
      <w:pPr>
        <w:pStyle w:val="Nzev"/>
        <w:outlineLvl w:val="9"/>
      </w:pPr>
      <w:bookmarkStart w:id="113" w:name="_Toc5119911"/>
      <w:r w:rsidRPr="00375A49">
        <w:t xml:space="preserve">Pro každé kritérium je </w:t>
      </w:r>
      <w:r>
        <w:t xml:space="preserve">indikativní </w:t>
      </w:r>
      <w:r w:rsidRPr="00375A49">
        <w:t>relevance ve vztahu ke konkrétní kategorii FORD stanovena takto:</w:t>
      </w:r>
      <w:bookmarkEnd w:id="113"/>
    </w:p>
    <w:tbl>
      <w:tblPr>
        <w:tblStyle w:val="Mkatabulky"/>
        <w:tblW w:w="9214" w:type="dxa"/>
        <w:tblInd w:w="-23" w:type="dxa"/>
        <w:tblLayout w:type="fixed"/>
        <w:tblLook w:val="04A0"/>
      </w:tblPr>
      <w:tblGrid>
        <w:gridCol w:w="667"/>
        <w:gridCol w:w="4720"/>
        <w:gridCol w:w="637"/>
        <w:gridCol w:w="638"/>
        <w:gridCol w:w="638"/>
        <w:gridCol w:w="638"/>
        <w:gridCol w:w="638"/>
        <w:gridCol w:w="638"/>
      </w:tblGrid>
      <w:tr w:rsidR="00BC3ACE" w:rsidRPr="00375A49" w:rsidTr="00363697">
        <w:trPr>
          <w:cantSplit/>
          <w:trHeight w:val="296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br w:type="page"/>
            </w:r>
            <w:r w:rsidRPr="00375A49">
              <w:rPr>
                <w:rFonts w:cstheme="minorHAnsi"/>
                <w:b/>
                <w:sz w:val="20"/>
                <w:szCs w:val="20"/>
              </w:rPr>
              <w:t>KRITÉRIA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>KATEGORIE FORD</w:t>
            </w:r>
          </w:p>
        </w:tc>
      </w:tr>
      <w:tr w:rsidR="00BC3ACE" w:rsidRPr="00375A49" w:rsidTr="00363697">
        <w:trPr>
          <w:cantSplit/>
          <w:trHeight w:val="1276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C3ACE" w:rsidRPr="00375A49" w:rsidRDefault="00BC3ACE" w:rsidP="00363697">
            <w:pPr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375A49">
              <w:rPr>
                <w:rFonts w:cstheme="minorHAnsi"/>
                <w:sz w:val="18"/>
                <w:szCs w:val="18"/>
                <w:lang w:val="en-US"/>
              </w:rPr>
              <w:t>Natural Science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C3ACE" w:rsidRPr="00375A49" w:rsidRDefault="00BC3ACE" w:rsidP="00363697">
            <w:pPr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375A49">
              <w:rPr>
                <w:rFonts w:cstheme="minorHAnsi"/>
                <w:sz w:val="18"/>
                <w:szCs w:val="18"/>
                <w:lang w:val="en-US"/>
              </w:rPr>
              <w:t>Engineering and Technology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C3ACE" w:rsidRPr="00375A49" w:rsidRDefault="00BC3ACE" w:rsidP="00363697">
            <w:pPr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375A49">
              <w:rPr>
                <w:rFonts w:cstheme="minorHAnsi"/>
                <w:sz w:val="18"/>
                <w:szCs w:val="18"/>
                <w:lang w:val="en-US"/>
              </w:rPr>
              <w:t>Medical and Health Sciences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C3ACE" w:rsidRPr="00375A49" w:rsidRDefault="00BC3ACE" w:rsidP="00363697">
            <w:pPr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375A49">
              <w:rPr>
                <w:rFonts w:cstheme="minorHAnsi"/>
                <w:sz w:val="18"/>
                <w:szCs w:val="18"/>
                <w:lang w:val="en-US"/>
              </w:rPr>
              <w:t>Agricultural and Veterinary Sciences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C3ACE" w:rsidRPr="00375A49" w:rsidRDefault="00BC3ACE" w:rsidP="00363697">
            <w:pPr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375A49">
              <w:rPr>
                <w:rFonts w:cstheme="minorHAnsi"/>
                <w:sz w:val="18"/>
                <w:szCs w:val="18"/>
                <w:lang w:val="en-US"/>
              </w:rPr>
              <w:t>Social Sciences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C3ACE" w:rsidRPr="00375A49" w:rsidRDefault="00BC3ACE" w:rsidP="00363697">
            <w:pPr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375A49">
              <w:rPr>
                <w:rFonts w:cstheme="minorHAnsi"/>
                <w:sz w:val="18"/>
                <w:szCs w:val="18"/>
                <w:lang w:val="en-US"/>
              </w:rPr>
              <w:t>Humanities and the Arts</w:t>
            </w:r>
          </w:p>
        </w:tc>
      </w:tr>
      <w:tr w:rsidR="00BC3ACE" w:rsidRPr="00375A49" w:rsidTr="00363697">
        <w:trPr>
          <w:trHeight w:val="340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3.2</w:t>
            </w:r>
          </w:p>
        </w:tc>
        <w:tc>
          <w:tcPr>
            <w:tcW w:w="4720" w:type="dxa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995E45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Projekty aplikovaného výzkumu</w:t>
            </w:r>
            <w:r w:rsidR="00F4030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4*</w:t>
            </w:r>
          </w:p>
        </w:tc>
        <w:tc>
          <w:tcPr>
            <w:tcW w:w="63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3*</w:t>
            </w:r>
          </w:p>
        </w:tc>
        <w:tc>
          <w:tcPr>
            <w:tcW w:w="63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4*</w:t>
            </w: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3*</w:t>
            </w:r>
          </w:p>
        </w:tc>
      </w:tr>
      <w:tr w:rsidR="00BC3AC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3.3</w:t>
            </w:r>
          </w:p>
        </w:tc>
        <w:tc>
          <w:tcPr>
            <w:tcW w:w="4720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4F357A" w:rsidP="00995E4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Smluvní výzkum</w:t>
            </w:r>
          </w:p>
        </w:tc>
        <w:tc>
          <w:tcPr>
            <w:tcW w:w="637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3*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1*</w:t>
            </w:r>
          </w:p>
        </w:tc>
      </w:tr>
      <w:tr w:rsidR="00BC3AC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3.4</w:t>
            </w:r>
          </w:p>
        </w:tc>
        <w:tc>
          <w:tcPr>
            <w:tcW w:w="4720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995E45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Výnosy z neveřejných zdrojů </w:t>
            </w:r>
          </w:p>
        </w:tc>
        <w:tc>
          <w:tcPr>
            <w:tcW w:w="637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2*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1*</w:t>
            </w:r>
          </w:p>
        </w:tc>
      </w:tr>
      <w:tr w:rsidR="00BC3AC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3.5</w:t>
            </w:r>
          </w:p>
        </w:tc>
        <w:tc>
          <w:tcPr>
            <w:tcW w:w="4720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995E45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Výsledky aplikovaného výzkumu</w:t>
            </w:r>
            <w:r w:rsidR="00F4030E">
              <w:rPr>
                <w:rFonts w:cstheme="minorHAnsi"/>
                <w:sz w:val="18"/>
                <w:szCs w:val="18"/>
              </w:rPr>
              <w:t xml:space="preserve"> </w:t>
            </w:r>
            <w:r w:rsidRPr="00375A49">
              <w:rPr>
                <w:rFonts w:cstheme="minorHAnsi"/>
                <w:sz w:val="18"/>
                <w:szCs w:val="18"/>
              </w:rPr>
              <w:t xml:space="preserve">s ekonomickým dopadem na společnost </w:t>
            </w:r>
          </w:p>
        </w:tc>
        <w:tc>
          <w:tcPr>
            <w:tcW w:w="637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2*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1*</w:t>
            </w:r>
          </w:p>
        </w:tc>
      </w:tr>
      <w:tr w:rsidR="00BC3AC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3.6</w:t>
            </w:r>
          </w:p>
        </w:tc>
        <w:tc>
          <w:tcPr>
            <w:tcW w:w="4720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995E45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Výsledky aplikovaného výzkumu s jiným než ekonomickým dopadem na společnost </w:t>
            </w:r>
          </w:p>
        </w:tc>
        <w:tc>
          <w:tcPr>
            <w:tcW w:w="637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</w:tr>
      <w:tr w:rsidR="00BC3AC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3.7</w:t>
            </w:r>
          </w:p>
        </w:tc>
        <w:tc>
          <w:tcPr>
            <w:tcW w:w="4720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1C2A4C" w:rsidP="003636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Interakce </w:t>
            </w:r>
            <w:r w:rsidRPr="002461DA">
              <w:rPr>
                <w:rFonts w:cstheme="minorHAnsi"/>
                <w:sz w:val="18"/>
                <w:szCs w:val="18"/>
              </w:rPr>
              <w:t>hodnocené jednotky</w:t>
            </w:r>
            <w:r w:rsidR="00BC3ACE" w:rsidRPr="00375A49">
              <w:rPr>
                <w:rFonts w:cstheme="minorHAnsi"/>
                <w:sz w:val="18"/>
                <w:szCs w:val="18"/>
              </w:rPr>
              <w:t xml:space="preserve"> s mimouniverzitní aplikační/firemní sférou</w:t>
            </w:r>
          </w:p>
        </w:tc>
        <w:tc>
          <w:tcPr>
            <w:tcW w:w="637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4*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4*</w:t>
            </w:r>
          </w:p>
        </w:tc>
      </w:tr>
      <w:tr w:rsidR="00BC3AC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3.8</w:t>
            </w:r>
          </w:p>
        </w:tc>
        <w:tc>
          <w:tcPr>
            <w:tcW w:w="4720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Systém a podpora transferu technologií a ochrany duševního vlastnictví</w:t>
            </w:r>
          </w:p>
        </w:tc>
        <w:tc>
          <w:tcPr>
            <w:tcW w:w="637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1*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1*</w:t>
            </w:r>
          </w:p>
        </w:tc>
      </w:tr>
      <w:tr w:rsidR="00BC3AC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lastRenderedPageBreak/>
              <w:t>3.9</w:t>
            </w:r>
          </w:p>
        </w:tc>
        <w:tc>
          <w:tcPr>
            <w:tcW w:w="4720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4F357A" w:rsidP="00B64D29">
            <w:pPr>
              <w:rPr>
                <w:rFonts w:cstheme="minorHAnsi"/>
                <w:sz w:val="18"/>
                <w:szCs w:val="18"/>
              </w:rPr>
            </w:pPr>
            <w:r w:rsidRPr="004F357A">
              <w:rPr>
                <w:rFonts w:cstheme="minorHAnsi"/>
                <w:sz w:val="18"/>
                <w:szCs w:val="18"/>
              </w:rPr>
              <w:t>Strategie zakládání a podpora spin-off firem nebo jin</w:t>
            </w:r>
            <w:r w:rsidR="00F4030E">
              <w:rPr>
                <w:rFonts w:cstheme="minorHAnsi"/>
                <w:sz w:val="18"/>
                <w:szCs w:val="18"/>
              </w:rPr>
              <w:t>ých</w:t>
            </w:r>
            <w:r w:rsidRPr="004F357A">
              <w:rPr>
                <w:rFonts w:cstheme="minorHAnsi"/>
                <w:sz w:val="18"/>
                <w:szCs w:val="18"/>
              </w:rPr>
              <w:t xml:space="preserve"> for</w:t>
            </w:r>
            <w:r w:rsidR="00F4030E">
              <w:rPr>
                <w:rFonts w:cstheme="minorHAnsi"/>
                <w:sz w:val="18"/>
                <w:szCs w:val="18"/>
              </w:rPr>
              <w:t>e</w:t>
            </w:r>
            <w:r w:rsidRPr="004F357A">
              <w:rPr>
                <w:rFonts w:cstheme="minorHAnsi"/>
                <w:sz w:val="18"/>
                <w:szCs w:val="18"/>
              </w:rPr>
              <w:t xml:space="preserve">m komercionalizace výsledků </w:t>
            </w:r>
            <w:r w:rsidR="00F4030E">
              <w:rPr>
                <w:rFonts w:cstheme="minorHAnsi"/>
                <w:sz w:val="18"/>
                <w:szCs w:val="18"/>
              </w:rPr>
              <w:t>VaVaI</w:t>
            </w:r>
            <w:r w:rsidRPr="004F357A">
              <w:rPr>
                <w:rFonts w:cstheme="minorHAnsi"/>
                <w:sz w:val="18"/>
                <w:szCs w:val="18"/>
              </w:rPr>
              <w:t xml:space="preserve"> (lze vztáhnout k celé </w:t>
            </w:r>
            <w:r w:rsidR="00B64D29">
              <w:rPr>
                <w:rFonts w:cstheme="minorHAnsi"/>
                <w:sz w:val="18"/>
                <w:szCs w:val="18"/>
              </w:rPr>
              <w:t>vysoké škole</w:t>
            </w:r>
            <w:r w:rsidR="00B64D29" w:rsidRPr="004F357A">
              <w:rPr>
                <w:rFonts w:cstheme="minorHAnsi"/>
                <w:sz w:val="18"/>
                <w:szCs w:val="18"/>
              </w:rPr>
              <w:t xml:space="preserve"> </w:t>
            </w:r>
            <w:r w:rsidRPr="004F357A">
              <w:rPr>
                <w:rFonts w:cstheme="minorHAnsi"/>
                <w:sz w:val="18"/>
                <w:szCs w:val="18"/>
              </w:rPr>
              <w:t>se zdůrazněním specifik hodnocené jednotky)</w:t>
            </w:r>
          </w:p>
        </w:tc>
        <w:tc>
          <w:tcPr>
            <w:tcW w:w="637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1*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1*</w:t>
            </w:r>
          </w:p>
        </w:tc>
      </w:tr>
      <w:tr w:rsidR="00BC3AC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3.10</w:t>
            </w:r>
          </w:p>
        </w:tc>
        <w:tc>
          <w:tcPr>
            <w:tcW w:w="4720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Významná individuální ocenění za </w:t>
            </w:r>
            <w:r w:rsidR="00F4030E"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637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</w:tr>
      <w:tr w:rsidR="00BC3AC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3.11</w:t>
            </w:r>
          </w:p>
        </w:tc>
        <w:tc>
          <w:tcPr>
            <w:tcW w:w="4720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Uznání mezinárodní komunitou v oblasti </w:t>
            </w:r>
            <w:r w:rsidR="00F4030E"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(volená členství v odborných společnostech atd.) </w:t>
            </w:r>
          </w:p>
        </w:tc>
        <w:tc>
          <w:tcPr>
            <w:tcW w:w="637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</w:tr>
      <w:tr w:rsidR="00BC3AC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3.12</w:t>
            </w:r>
          </w:p>
        </w:tc>
        <w:tc>
          <w:tcPr>
            <w:tcW w:w="4720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Významné aktivity v oblasti popularizace </w:t>
            </w:r>
            <w:r w:rsidR="00F4030E"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a komunikace s veřejností</w:t>
            </w:r>
          </w:p>
        </w:tc>
        <w:tc>
          <w:tcPr>
            <w:tcW w:w="637" w:type="dxa"/>
            <w:tcBorders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4*</w:t>
            </w:r>
          </w:p>
        </w:tc>
        <w:tc>
          <w:tcPr>
            <w:tcW w:w="638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</w:tr>
      <w:tr w:rsidR="00BC3ACE" w:rsidRPr="00375A49" w:rsidTr="00363697">
        <w:trPr>
          <w:trHeight w:val="340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18"/>
                <w:szCs w:val="18"/>
              </w:rPr>
            </w:pPr>
          </w:p>
          <w:p w:rsidR="00BC3ACE" w:rsidRPr="00375A49" w:rsidRDefault="00BC3ACE" w:rsidP="00363697">
            <w:pPr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>CELKOVÁ INDIKATIVNÍ RELEVANCE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</w:p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48*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</w:p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53*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</w:p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46*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</w:p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52*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</w:p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37*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</w:p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32*</w:t>
            </w:r>
          </w:p>
        </w:tc>
      </w:tr>
    </w:tbl>
    <w:p w:rsidR="00995E45" w:rsidRDefault="00995E45" w:rsidP="00724D83">
      <w:pPr>
        <w:pStyle w:val="Nzev"/>
        <w:outlineLvl w:val="9"/>
      </w:pPr>
      <w:bookmarkStart w:id="114" w:name="_Toc5119912"/>
    </w:p>
    <w:p w:rsidR="00AF40F0" w:rsidRPr="00AF40F0" w:rsidRDefault="00BC3ACE" w:rsidP="00724D83">
      <w:pPr>
        <w:pStyle w:val="Nzev"/>
        <w:outlineLvl w:val="9"/>
      </w:pPr>
      <w:r w:rsidRPr="00436227">
        <w:t>Kritérium 3.1 nemá indikativní relevanci a představuje ú</w:t>
      </w:r>
      <w:r w:rsidR="00D010C9">
        <w:t>vod, v němž hodnocená jednotka</w:t>
      </w:r>
      <w:r w:rsidRPr="00436227">
        <w:t xml:space="preserve"> zhodnotí společenský přínos </w:t>
      </w:r>
      <w:r w:rsidR="00F4030E">
        <w:t>VaVaI</w:t>
      </w:r>
      <w:r w:rsidRPr="00436227">
        <w:t xml:space="preserve"> v oborech rozvíjených na hodnocené jednotce a hodnocené jednotky jako celku.</w:t>
      </w:r>
      <w:bookmarkEnd w:id="114"/>
    </w:p>
    <w:p w:rsidR="00BC3ACE" w:rsidRDefault="00BC3ACE" w:rsidP="00BC3ACE">
      <w:pPr>
        <w:pStyle w:val="Nzev"/>
        <w:outlineLvl w:val="9"/>
      </w:pPr>
      <w:bookmarkStart w:id="115" w:name="_Toc5119913"/>
      <w:r w:rsidRPr="00375A49">
        <w:t xml:space="preserve">Celkový počet hvězdiček představuje </w:t>
      </w:r>
      <w:r>
        <w:t xml:space="preserve">indikativní </w:t>
      </w:r>
      <w:r w:rsidRPr="00375A49">
        <w:t xml:space="preserve">relevanci </w:t>
      </w:r>
      <w:r>
        <w:t xml:space="preserve">modulu </w:t>
      </w:r>
      <w:r w:rsidRPr="00375A49">
        <w:t>M3 (kalibraci) pro příslušnou kategorii FORD.</w:t>
      </w:r>
      <w:bookmarkEnd w:id="115"/>
      <w:r w:rsidRPr="00375A49">
        <w:t xml:space="preserve"> </w:t>
      </w:r>
    </w:p>
    <w:p w:rsidR="00D12384" w:rsidRPr="00375A49" w:rsidRDefault="00D12384" w:rsidP="00D12384">
      <w:pPr>
        <w:pStyle w:val="Nzev"/>
        <w:outlineLvl w:val="9"/>
      </w:pPr>
      <w:bookmarkStart w:id="116" w:name="_Toc5119919"/>
      <w:r>
        <w:t>Každé kritérium je ohodnoceno body v rozmezí 0 – 5 určující jednotlivé stupně hodnocení</w:t>
      </w:r>
      <w:r w:rsidRPr="00375A49">
        <w:t xml:space="preserve"> (viz</w:t>
      </w:r>
      <w:r>
        <w:t> </w:t>
      </w:r>
      <w:r w:rsidRPr="00375A49">
        <w:t>tab.</w:t>
      </w:r>
      <w:r>
        <w:t> </w:t>
      </w:r>
      <w:r w:rsidRPr="00375A49">
        <w:t xml:space="preserve">1). </w:t>
      </w:r>
    </w:p>
    <w:p w:rsidR="00BC3ACE" w:rsidRPr="00375A49" w:rsidRDefault="00BC3ACE" w:rsidP="00BC3ACE">
      <w:pPr>
        <w:pStyle w:val="Nzev"/>
        <w:outlineLvl w:val="9"/>
      </w:pPr>
      <w:r w:rsidRPr="00375A49">
        <w:t>Tabulka 1</w:t>
      </w:r>
      <w:bookmarkEnd w:id="116"/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363697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STUPNĚ HODNOCENÍ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17" w:name="_Toc5119920"/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5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bookmarkEnd w:id="117"/>
            <w:r w:rsidR="00692C02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r w:rsidR="00692C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18" w:name="_Toc5119921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18"/>
            <w:r w:rsidR="005669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19" w:name="_Toc5119922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19"/>
            <w:r w:rsidR="005669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20" w:name="_Toc5119923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20"/>
            <w:r w:rsidR="005669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21" w:name="_Toc5119924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bod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21"/>
            <w:r w:rsidR="005669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bookmarkStart w:id="122" w:name="_Toc5119925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bodů</w:t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bookmarkEnd w:id="122"/>
            <w:r w:rsidR="0056694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BC3ACE" w:rsidRPr="00375A49" w:rsidRDefault="00BC3ACE" w:rsidP="00BC3ACE">
      <w:pPr>
        <w:pStyle w:val="Odstavecseseznamem"/>
        <w:ind w:left="1080"/>
        <w:jc w:val="both"/>
        <w:rPr>
          <w:b/>
          <w:lang w:val="cs-CZ"/>
        </w:rPr>
      </w:pPr>
    </w:p>
    <w:p w:rsidR="00D12384" w:rsidRDefault="00D12384" w:rsidP="00D12384">
      <w:pPr>
        <w:pStyle w:val="Nzev"/>
        <w:outlineLvl w:val="9"/>
      </w:pPr>
      <w:bookmarkStart w:id="123" w:name="_Toc5119926"/>
      <w:r>
        <w:t>Bodový zisk</w:t>
      </w:r>
      <w:r w:rsidRPr="00375A49">
        <w:t xml:space="preserve"> </w:t>
      </w:r>
      <w:r>
        <w:t xml:space="preserve">hodnocené jednotky v modulu </w:t>
      </w:r>
      <w:r w:rsidRPr="00375A49">
        <w:t xml:space="preserve">M3 </w:t>
      </w:r>
      <w:r>
        <w:t>je stanoven jako suma součinů indikativní relevance každého kritéria (počet hvězdiček) a bodového ohodnocení jednotlivých kritérií</w:t>
      </w:r>
      <w:r w:rsidRPr="00375A49">
        <w:t xml:space="preserve">. </w:t>
      </w:r>
      <w:r>
        <w:t xml:space="preserve">Maximální bodové ohodnocení v jednotlivých kategoriích je uvedeno v tab. 2. </w:t>
      </w:r>
    </w:p>
    <w:p w:rsidR="00D12384" w:rsidRPr="00B261C5" w:rsidRDefault="00D12384" w:rsidP="00D12384">
      <w:r>
        <w:rPr>
          <w:lang w:val="cs-CZ" w:eastAsia="cs-CZ"/>
        </w:rPr>
        <w:t>Tabulka 2</w:t>
      </w:r>
    </w:p>
    <w:tbl>
      <w:tblPr>
        <w:tblStyle w:val="Mkatabulky"/>
        <w:tblW w:w="9214" w:type="dxa"/>
        <w:tblInd w:w="-23" w:type="dxa"/>
        <w:tblLayout w:type="fixed"/>
        <w:tblLook w:val="04A0"/>
      </w:tblPr>
      <w:tblGrid>
        <w:gridCol w:w="5387"/>
        <w:gridCol w:w="637"/>
        <w:gridCol w:w="638"/>
        <w:gridCol w:w="638"/>
        <w:gridCol w:w="638"/>
        <w:gridCol w:w="638"/>
        <w:gridCol w:w="638"/>
      </w:tblGrid>
      <w:tr w:rsidR="00D12384" w:rsidRPr="00375A49" w:rsidTr="00D12384">
        <w:trPr>
          <w:cantSplit/>
          <w:trHeight w:val="296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12384" w:rsidRPr="00375A49" w:rsidRDefault="00D12384" w:rsidP="00D12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cstheme="minorHAnsi"/>
                <w:sz w:val="20"/>
                <w:szCs w:val="20"/>
              </w:rPr>
              <w:br w:type="page"/>
            </w:r>
            <w:r w:rsidRPr="00375A49">
              <w:rPr>
                <w:rFonts w:cstheme="minorHAnsi"/>
                <w:b/>
                <w:sz w:val="20"/>
                <w:szCs w:val="20"/>
              </w:rPr>
              <w:t>KRITÉRIA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12384" w:rsidRPr="00375A49" w:rsidRDefault="00D12384" w:rsidP="00D12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>KATEGORIE FORD</w:t>
            </w:r>
          </w:p>
        </w:tc>
      </w:tr>
      <w:tr w:rsidR="00D12384" w:rsidRPr="00375A49" w:rsidTr="00D12384">
        <w:trPr>
          <w:cantSplit/>
          <w:trHeight w:val="1670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12384" w:rsidRPr="00375A49" w:rsidRDefault="00D12384" w:rsidP="00D123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D12384" w:rsidRPr="00375A49" w:rsidRDefault="00D12384" w:rsidP="00D12384">
            <w:pPr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375A49">
              <w:rPr>
                <w:rFonts w:cstheme="minorHAnsi"/>
                <w:sz w:val="18"/>
                <w:szCs w:val="18"/>
                <w:lang w:val="en-US"/>
              </w:rPr>
              <w:t>Natural Science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D12384" w:rsidRPr="00375A49" w:rsidRDefault="00D12384" w:rsidP="00D12384">
            <w:pPr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375A49">
              <w:rPr>
                <w:rFonts w:cstheme="minorHAnsi"/>
                <w:sz w:val="18"/>
                <w:szCs w:val="18"/>
                <w:lang w:val="en-US"/>
              </w:rPr>
              <w:t>Engineering and Technology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D12384" w:rsidRPr="00375A49" w:rsidRDefault="00D12384" w:rsidP="00D12384">
            <w:pPr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375A49">
              <w:rPr>
                <w:rFonts w:cstheme="minorHAnsi"/>
                <w:sz w:val="18"/>
                <w:szCs w:val="18"/>
                <w:lang w:val="en-US"/>
              </w:rPr>
              <w:t>Medical and Health Sciences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D12384" w:rsidRPr="00375A49" w:rsidRDefault="00D12384" w:rsidP="00D12384">
            <w:pPr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375A49">
              <w:rPr>
                <w:rFonts w:cstheme="minorHAnsi"/>
                <w:sz w:val="18"/>
                <w:szCs w:val="18"/>
                <w:lang w:val="en-US"/>
              </w:rPr>
              <w:t>Agricultural and Veterinary Sciences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D12384" w:rsidRPr="00375A49" w:rsidRDefault="00D12384" w:rsidP="00D12384">
            <w:pPr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375A49">
              <w:rPr>
                <w:rFonts w:cstheme="minorHAnsi"/>
                <w:sz w:val="18"/>
                <w:szCs w:val="18"/>
                <w:lang w:val="en-US"/>
              </w:rPr>
              <w:t>Social Sciences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D12384" w:rsidRPr="00375A49" w:rsidRDefault="00D12384" w:rsidP="00D12384">
            <w:pPr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375A49">
              <w:rPr>
                <w:rFonts w:cstheme="minorHAnsi"/>
                <w:sz w:val="18"/>
                <w:szCs w:val="18"/>
                <w:lang w:val="en-US"/>
              </w:rPr>
              <w:t>Humanities and the Arts</w:t>
            </w:r>
          </w:p>
        </w:tc>
      </w:tr>
      <w:tr w:rsidR="00D12384" w:rsidRPr="00375A49" w:rsidTr="00D12384">
        <w:trPr>
          <w:cantSplit/>
          <w:trHeight w:val="524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12384" w:rsidRPr="00375A49" w:rsidRDefault="00D12384" w:rsidP="00D12384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>CELKOVÁ INDIKATIVNÍ RELEVANCE</w:t>
            </w:r>
            <w:r>
              <w:rPr>
                <w:rFonts w:cstheme="minorHAnsi"/>
                <w:b/>
                <w:sz w:val="20"/>
                <w:szCs w:val="20"/>
              </w:rPr>
              <w:t xml:space="preserve"> NÁSOBENÁ MAXIMÁLNÍM BODOVÝM OHODNOCENÍM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D12384" w:rsidRPr="00375A49" w:rsidRDefault="00D12384" w:rsidP="00D12384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D12384" w:rsidRPr="00375A49" w:rsidRDefault="00D12384" w:rsidP="00D12384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265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D12384" w:rsidRPr="00375A49" w:rsidRDefault="00D12384" w:rsidP="00D12384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230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D12384" w:rsidRPr="00375A49" w:rsidRDefault="00D12384" w:rsidP="00D12384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260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D12384" w:rsidRPr="00375A49" w:rsidRDefault="00D12384" w:rsidP="00D12384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185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D12384" w:rsidRPr="00375A49" w:rsidRDefault="00D12384" w:rsidP="00D12384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160</w:t>
            </w:r>
          </w:p>
        </w:tc>
      </w:tr>
    </w:tbl>
    <w:p w:rsidR="00D12384" w:rsidRDefault="00D12384" w:rsidP="00D12384">
      <w:pPr>
        <w:pStyle w:val="Nzev"/>
        <w:outlineLvl w:val="9"/>
      </w:pPr>
    </w:p>
    <w:p w:rsidR="00D12384" w:rsidRDefault="00D12384" w:rsidP="00D12384">
      <w:pPr>
        <w:pStyle w:val="Nzev"/>
        <w:outlineLvl w:val="9"/>
      </w:pPr>
      <w:r w:rsidRPr="00375A49">
        <w:t>Bodové hodnocení každého kritéria se následně doplní o</w:t>
      </w:r>
      <w:r>
        <w:t> </w:t>
      </w:r>
      <w:r w:rsidRPr="00375A49">
        <w:t>slovní hodnocení vč. nepovinného doporučení</w:t>
      </w:r>
      <w:r w:rsidRPr="00AE4274">
        <w:t xml:space="preserve">. Celkové </w:t>
      </w:r>
      <w:r w:rsidRPr="00375A49">
        <w:t xml:space="preserve">hodnocení </w:t>
      </w:r>
      <w:r>
        <w:t xml:space="preserve">hodnocené jednotky </w:t>
      </w:r>
      <w:r w:rsidRPr="00375A49">
        <w:t>v</w:t>
      </w:r>
      <w:r>
        <w:t xml:space="preserve"> modulu </w:t>
      </w:r>
      <w:r w:rsidRPr="00375A49">
        <w:t xml:space="preserve">M3 se </w:t>
      </w:r>
      <w:r>
        <w:t>stanoví</w:t>
      </w:r>
      <w:r w:rsidRPr="00375A49">
        <w:t xml:space="preserve"> pomocí stupnice hodnocení (viz tab. </w:t>
      </w:r>
      <w:r>
        <w:t>3</w:t>
      </w:r>
      <w:r w:rsidRPr="00375A49">
        <w:t>).</w:t>
      </w:r>
      <w:bookmarkEnd w:id="123"/>
    </w:p>
    <w:p w:rsidR="00D12384" w:rsidRDefault="00D12384" w:rsidP="00D12384">
      <w:pPr>
        <w:pStyle w:val="Nzev"/>
        <w:outlineLvl w:val="9"/>
      </w:pPr>
      <w:bookmarkStart w:id="124" w:name="_Toc5119927"/>
    </w:p>
    <w:p w:rsidR="00D12384" w:rsidRDefault="00D12384" w:rsidP="00D12384">
      <w:pPr>
        <w:pStyle w:val="Nzev"/>
        <w:outlineLvl w:val="9"/>
      </w:pPr>
    </w:p>
    <w:p w:rsidR="00D12384" w:rsidRDefault="00D12384" w:rsidP="00D12384">
      <w:pPr>
        <w:pStyle w:val="Nzev"/>
        <w:outlineLvl w:val="9"/>
      </w:pPr>
    </w:p>
    <w:p w:rsidR="00D12384" w:rsidRPr="00375A49" w:rsidRDefault="00D12384" w:rsidP="00D12384">
      <w:pPr>
        <w:pStyle w:val="Nzev"/>
        <w:outlineLvl w:val="9"/>
      </w:pPr>
      <w:r w:rsidRPr="00375A49">
        <w:lastRenderedPageBreak/>
        <w:t xml:space="preserve">Tabulka </w:t>
      </w:r>
      <w:bookmarkEnd w:id="124"/>
      <w:r>
        <w:t>3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b/>
          <w:sz w:val="18"/>
          <w:szCs w:val="18"/>
          <w:lang w:val="en-AU"/>
        </w:rPr>
      </w:pPr>
      <w:r w:rsidRPr="00375A49">
        <w:rPr>
          <w:rFonts w:cstheme="minorHAnsi"/>
          <w:b/>
          <w:sz w:val="20"/>
          <w:szCs w:val="20"/>
        </w:rPr>
        <w:t xml:space="preserve">                                                                                    STUPNICE HODNOCENÍ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b/>
          <w:sz w:val="18"/>
          <w:szCs w:val="18"/>
          <w:lang w:val="en-AU"/>
        </w:rPr>
      </w:pPr>
      <w:r w:rsidRPr="00375A49">
        <w:rPr>
          <w:rFonts w:cstheme="minorHAnsi"/>
          <w:b/>
          <w:sz w:val="18"/>
          <w:szCs w:val="18"/>
          <w:lang w:val="en-AU"/>
        </w:rPr>
        <w:t>Natural Sciences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&gt; 216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>Vynikající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169 - 216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>bodů</w:t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Velmi dobrý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121 – 168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Dobrý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73 – 120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Průměrný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25 – 72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Podprůměrný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0 – 24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Nedostatečný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u w:val="single"/>
          <w:lang w:val="en-AU"/>
        </w:rPr>
      </w:pP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b/>
          <w:sz w:val="18"/>
          <w:szCs w:val="18"/>
          <w:lang w:val="en-AU"/>
        </w:rPr>
      </w:pPr>
      <w:r w:rsidRPr="00375A49">
        <w:rPr>
          <w:rFonts w:cstheme="minorHAnsi"/>
          <w:b/>
          <w:sz w:val="18"/>
          <w:szCs w:val="18"/>
          <w:lang w:val="en-AU"/>
        </w:rPr>
        <w:t>Engineering and Technology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&gt; 238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>Vynikající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186 - 238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>bodů</w:t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Velmi dobrý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133 – 185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Dobrý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80 – 132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Průměrný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27 – 79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Podprůměrný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0 – 26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Nedostatečný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b/>
          <w:sz w:val="18"/>
          <w:szCs w:val="18"/>
          <w:lang w:val="en-AU"/>
        </w:rPr>
      </w:pPr>
      <w:r w:rsidRPr="00375A49">
        <w:rPr>
          <w:rFonts w:cstheme="minorHAnsi"/>
          <w:b/>
          <w:sz w:val="18"/>
          <w:szCs w:val="18"/>
          <w:lang w:val="en-AU"/>
        </w:rPr>
        <w:t>Medical and Health Sciences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&gt; 207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>Vynikající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162 - 207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>bodů</w:t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Velmi dobrý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116 – 161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Dobrý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70 – 115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Průměrný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24 – 69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Podprůměrný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0 – 23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Nedostatečný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b/>
          <w:sz w:val="18"/>
          <w:szCs w:val="18"/>
          <w:lang w:val="en-AU"/>
        </w:rPr>
      </w:pP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b/>
          <w:sz w:val="18"/>
          <w:szCs w:val="18"/>
          <w:lang w:val="en-AU"/>
        </w:rPr>
      </w:pPr>
      <w:r w:rsidRPr="00375A49">
        <w:rPr>
          <w:rFonts w:cstheme="minorHAnsi"/>
          <w:b/>
          <w:sz w:val="18"/>
          <w:szCs w:val="18"/>
          <w:lang w:val="en-AU"/>
        </w:rPr>
        <w:t>Agricultural and Veterinary Sciences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&gt; 234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>Vynikající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183 - 234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>bodů</w:t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Velmi dobrý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131 – 182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Dobrý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79 – 130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Průměrný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27 – 78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Podprůměrný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0 – 26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Nedostatečný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b/>
          <w:sz w:val="18"/>
          <w:szCs w:val="18"/>
          <w:lang w:val="en-AU"/>
        </w:rPr>
      </w:pP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b/>
          <w:sz w:val="18"/>
          <w:szCs w:val="18"/>
          <w:lang w:val="en-AU"/>
        </w:rPr>
      </w:pPr>
      <w:r w:rsidRPr="00375A49">
        <w:rPr>
          <w:rFonts w:cstheme="minorHAnsi"/>
          <w:b/>
          <w:sz w:val="18"/>
          <w:szCs w:val="18"/>
          <w:lang w:val="en-AU"/>
        </w:rPr>
        <w:t>Social Sciences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&gt; 166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>Vynikající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130 - 166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>bodů</w:t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Velmi dobrý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93 – 129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Dobrý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56 – 92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Průměrný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19 – 55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Podprůměrný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0 – 18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Nedostatečný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b/>
          <w:sz w:val="18"/>
          <w:szCs w:val="18"/>
          <w:lang w:val="en-AU"/>
        </w:rPr>
      </w:pPr>
    </w:p>
    <w:p w:rsidR="00D12384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b/>
          <w:sz w:val="18"/>
          <w:szCs w:val="18"/>
          <w:lang w:val="en-AU"/>
        </w:rPr>
      </w:pPr>
      <w:r w:rsidRPr="00375A49">
        <w:rPr>
          <w:rFonts w:cstheme="minorHAnsi"/>
          <w:b/>
          <w:sz w:val="18"/>
          <w:szCs w:val="18"/>
          <w:lang w:val="en-AU"/>
        </w:rPr>
        <w:t>Humanities and the Arts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&gt; 144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>Vynikající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113 - 144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>bodů</w:t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Velmi dobrý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81 – 112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Dobrý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49 – 80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Průměrný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17 – 48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Podprůměrný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0 – 16 bodů</w:t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>
        <w:rPr>
          <w:rFonts w:cstheme="minorHAnsi"/>
          <w:sz w:val="18"/>
          <w:szCs w:val="18"/>
          <w:lang w:val="en-US"/>
        </w:rPr>
        <w:t>Nedostatečný</w:t>
      </w:r>
    </w:p>
    <w:p w:rsidR="00D12384" w:rsidRPr="00375A49" w:rsidRDefault="00D12384" w:rsidP="00D1238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b/>
          <w:sz w:val="18"/>
          <w:szCs w:val="18"/>
          <w:lang w:val="en-AU"/>
        </w:rPr>
      </w:pPr>
    </w:p>
    <w:p w:rsidR="00D12384" w:rsidRPr="00375A49" w:rsidRDefault="00D12384" w:rsidP="00D12384">
      <w:pPr>
        <w:rPr>
          <w:rFonts w:cstheme="minorHAnsi"/>
          <w:b/>
          <w:sz w:val="28"/>
          <w:szCs w:val="28"/>
          <w:lang w:val="cs-CZ"/>
        </w:rPr>
      </w:pPr>
    </w:p>
    <w:p w:rsidR="00D12384" w:rsidRDefault="00D12384" w:rsidP="00D12384">
      <w:pPr>
        <w:pStyle w:val="Nzev"/>
        <w:outlineLvl w:val="9"/>
      </w:pPr>
      <w:bookmarkStart w:id="125" w:name="_Toc5119928"/>
      <w:r w:rsidRPr="00375A49">
        <w:t xml:space="preserve">Stupnice </w:t>
      </w:r>
      <w:r w:rsidRPr="00AE4274">
        <w:t>celkové</w:t>
      </w:r>
      <w:r w:rsidRPr="00375A49">
        <w:t>ho hodnocení reflektuje kalibraci prostřednictvím</w:t>
      </w:r>
      <w:r>
        <w:t xml:space="preserve"> nastavení indikativní relevance jednotlivých kritérií v rámci kategorií FORD a bodového rozsahu stupně hodnocení.</w:t>
      </w:r>
    </w:p>
    <w:bookmarkEnd w:id="125"/>
    <w:p w:rsidR="00BC3ACE" w:rsidRDefault="00BC3ACE" w:rsidP="00BC3ACE">
      <w:pPr>
        <w:rPr>
          <w:lang w:val="cs-CZ" w:eastAsia="cs-CZ"/>
        </w:rPr>
      </w:pPr>
    </w:p>
    <w:p w:rsidR="00D12384" w:rsidRDefault="00D12384" w:rsidP="00BC3ACE">
      <w:pPr>
        <w:rPr>
          <w:lang w:val="cs-CZ" w:eastAsia="cs-CZ"/>
        </w:rPr>
      </w:pPr>
    </w:p>
    <w:p w:rsidR="00D12384" w:rsidRDefault="00D12384" w:rsidP="00BC3ACE">
      <w:pPr>
        <w:rPr>
          <w:lang w:val="cs-CZ" w:eastAsia="cs-CZ"/>
        </w:rPr>
      </w:pPr>
    </w:p>
    <w:p w:rsidR="00D12384" w:rsidRDefault="00D12384" w:rsidP="00BC3ACE">
      <w:pPr>
        <w:rPr>
          <w:lang w:val="cs-CZ" w:eastAsia="cs-CZ"/>
        </w:rPr>
      </w:pPr>
    </w:p>
    <w:p w:rsidR="002D496F" w:rsidRPr="00375A49" w:rsidRDefault="002D496F" w:rsidP="002D496F">
      <w:pPr>
        <w:pStyle w:val="Nadpis3"/>
        <w:numPr>
          <w:ilvl w:val="2"/>
          <w:numId w:val="40"/>
        </w:numPr>
      </w:pPr>
      <w:bookmarkStart w:id="126" w:name="_Toc5133501"/>
      <w:bookmarkStart w:id="127" w:name="_Toc6493955"/>
      <w:bookmarkStart w:id="128" w:name="_Toc7772767"/>
      <w:bookmarkStart w:id="129" w:name="_Toc9420180"/>
      <w:bookmarkStart w:id="130" w:name="_Toc11664137"/>
      <w:bookmarkStart w:id="131" w:name="_Toc7772769"/>
      <w:r w:rsidRPr="00375A49">
        <w:lastRenderedPageBreak/>
        <w:t>BODOVÉ HODNOCENÍ MODULU M4</w:t>
      </w:r>
      <w:bookmarkEnd w:id="126"/>
      <w:bookmarkEnd w:id="127"/>
      <w:bookmarkEnd w:id="128"/>
      <w:bookmarkEnd w:id="129"/>
      <w:bookmarkEnd w:id="130"/>
    </w:p>
    <w:p w:rsidR="002D496F" w:rsidRPr="00375A49" w:rsidRDefault="002D496F" w:rsidP="002D496F">
      <w:pPr>
        <w:pStyle w:val="W3MUZkonParagrafNzev"/>
        <w:tabs>
          <w:tab w:val="num" w:pos="0"/>
        </w:tabs>
        <w:spacing w:before="0" w:after="120"/>
        <w:rPr>
          <w:color w:val="auto"/>
          <w:sz w:val="18"/>
          <w:szCs w:val="18"/>
        </w:rPr>
      </w:pPr>
    </w:p>
    <w:p w:rsidR="002D496F" w:rsidRPr="00375A49" w:rsidRDefault="002D496F" w:rsidP="002D496F">
      <w:pPr>
        <w:pStyle w:val="Nzev"/>
        <w:outlineLvl w:val="9"/>
      </w:pPr>
      <w:bookmarkStart w:id="132" w:name="_Toc5119937"/>
      <w:r w:rsidRPr="00375A49">
        <w:t>Hodnocenou jednotkou v</w:t>
      </w:r>
      <w:r>
        <w:t xml:space="preserve"> modulu </w:t>
      </w:r>
      <w:r w:rsidRPr="00375A49">
        <w:t>M4 je vysoká škola jako celek. Hodnocen je stav dané vysoké školy</w:t>
      </w:r>
      <w:r>
        <w:t xml:space="preserve"> dle údajů za hodnocené</w:t>
      </w:r>
      <w:r w:rsidRPr="00375A49">
        <w:t xml:space="preserve"> obd</w:t>
      </w:r>
      <w:r>
        <w:t>obí 2014-2018</w:t>
      </w:r>
      <w:r w:rsidRPr="00375A49">
        <w:t>.</w:t>
      </w:r>
      <w:bookmarkEnd w:id="132"/>
    </w:p>
    <w:p w:rsidR="002D496F" w:rsidRPr="00375A49" w:rsidRDefault="002D496F" w:rsidP="002D496F">
      <w:pPr>
        <w:pStyle w:val="Nzev"/>
        <w:outlineLvl w:val="9"/>
      </w:pPr>
      <w:bookmarkStart w:id="133" w:name="_Toc5119938"/>
      <w:r>
        <w:t xml:space="preserve">Modul </w:t>
      </w:r>
      <w:r w:rsidRPr="00375A49">
        <w:t>M4 nezohledňuje kalibraci pro jednotlivé kategorie FORD.</w:t>
      </w:r>
    </w:p>
    <w:p w:rsidR="002D496F" w:rsidRPr="00375A49" w:rsidRDefault="002D496F" w:rsidP="002D496F">
      <w:pPr>
        <w:pStyle w:val="Nzev"/>
        <w:outlineLvl w:val="9"/>
      </w:pPr>
      <w:r w:rsidRPr="00375A49">
        <w:t xml:space="preserve">Kvantitativní hodnocení </w:t>
      </w:r>
      <w:r>
        <w:t xml:space="preserve">modulu </w:t>
      </w:r>
      <w:r w:rsidRPr="00375A49">
        <w:t>M4 vychází z bodového hodnocení 28 kritérií.</w:t>
      </w:r>
      <w:r w:rsidRPr="00282A5F">
        <w:t xml:space="preserve"> </w:t>
      </w:r>
      <w:r>
        <w:t>Každé kritérium je ohodnoceno body v rozmezí 0 – 5 určující jednotlivé stupně hodnocení</w:t>
      </w:r>
      <w:r w:rsidRPr="00282A5F" w:rsidDel="00DA49E5">
        <w:t xml:space="preserve"> </w:t>
      </w:r>
      <w:r w:rsidRPr="00282A5F">
        <w:t>(vi</w:t>
      </w:r>
      <w:r w:rsidR="00AA5B7E">
        <w:t>z tab.  4</w:t>
      </w:r>
      <w:r w:rsidRPr="00282A5F">
        <w:t>). Maximáln</w:t>
      </w:r>
      <w:r>
        <w:t>í</w:t>
      </w:r>
      <w:r w:rsidRPr="00282A5F">
        <w:t xml:space="preserve"> </w:t>
      </w:r>
      <w:r>
        <w:t xml:space="preserve">bodové ohodnocení </w:t>
      </w:r>
      <w:r w:rsidRPr="00282A5F">
        <w:t>je 1</w:t>
      </w:r>
      <w:r>
        <w:t>40</w:t>
      </w:r>
      <w:r w:rsidRPr="00282A5F">
        <w:t xml:space="preserve"> bodů.</w:t>
      </w:r>
      <w:r w:rsidRPr="00375A49">
        <w:t xml:space="preserve"> </w:t>
      </w:r>
      <w:bookmarkEnd w:id="133"/>
    </w:p>
    <w:p w:rsidR="002D496F" w:rsidRPr="00375A49" w:rsidRDefault="002D496F" w:rsidP="002D496F">
      <w:pPr>
        <w:pStyle w:val="Nzev"/>
        <w:outlineLvl w:val="9"/>
      </w:pPr>
      <w:bookmarkStart w:id="134" w:name="_Toc5119939"/>
      <w:r w:rsidRPr="00375A49">
        <w:t xml:space="preserve">Tabulka </w:t>
      </w:r>
      <w:bookmarkEnd w:id="134"/>
      <w:r>
        <w:t>4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2D496F" w:rsidRPr="00375A49" w:rsidTr="003C7774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2D496F" w:rsidRPr="00375A49" w:rsidRDefault="002D496F" w:rsidP="003C7774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STUPNĚ HODNOCENÍ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35" w:name="_Toc5119940"/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5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bookmarkEnd w:id="135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36" w:name="_Toc5119941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36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37" w:name="_Toc5119942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37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38" w:name="_Toc5119943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38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39" w:name="_Toc5119944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bod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39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bookmarkStart w:id="140" w:name="_Toc5119945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bodů</w:t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bookmarkEnd w:id="140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2D496F" w:rsidRPr="00375A49" w:rsidRDefault="002D496F" w:rsidP="002D496F">
      <w:pPr>
        <w:jc w:val="both"/>
        <w:rPr>
          <w:b/>
          <w:lang w:val="cs-CZ"/>
        </w:rPr>
      </w:pPr>
    </w:p>
    <w:p w:rsidR="002D496F" w:rsidRPr="00375A49" w:rsidRDefault="002D496F" w:rsidP="002D496F">
      <w:pPr>
        <w:pStyle w:val="Nzev"/>
        <w:outlineLvl w:val="9"/>
      </w:pPr>
      <w:r w:rsidRPr="00375A49">
        <w:t>Jednotlivá hodnoticí kritéria v</w:t>
      </w:r>
      <w:r>
        <w:t> </w:t>
      </w:r>
      <w:r w:rsidRPr="00375A49">
        <w:t>rámci</w:t>
      </w:r>
      <w:r>
        <w:t xml:space="preserve"> modulu </w:t>
      </w:r>
      <w:r w:rsidRPr="00375A49">
        <w:t xml:space="preserve">M4 znázorňuje tab. </w:t>
      </w:r>
      <w:r>
        <w:t>5</w:t>
      </w:r>
      <w:r w:rsidRPr="00375A49">
        <w:t>.</w:t>
      </w:r>
    </w:p>
    <w:p w:rsidR="002D496F" w:rsidRPr="00375A49" w:rsidRDefault="002D496F" w:rsidP="002D496F">
      <w:pPr>
        <w:pStyle w:val="Nzev"/>
        <w:outlineLvl w:val="9"/>
      </w:pPr>
      <w:bookmarkStart w:id="141" w:name="_Toc5119946"/>
      <w:r w:rsidRPr="00375A49">
        <w:t xml:space="preserve">Tabulka </w:t>
      </w:r>
      <w:bookmarkEnd w:id="141"/>
      <w:r>
        <w:t>5</w:t>
      </w:r>
    </w:p>
    <w:tbl>
      <w:tblPr>
        <w:tblStyle w:val="Mkatabulky"/>
        <w:tblW w:w="9222" w:type="dxa"/>
        <w:tblInd w:w="-23" w:type="dxa"/>
        <w:tblLayout w:type="fixed"/>
        <w:tblLook w:val="04A0"/>
      </w:tblPr>
      <w:tblGrid>
        <w:gridCol w:w="667"/>
        <w:gridCol w:w="8555"/>
      </w:tblGrid>
      <w:tr w:rsidR="002D496F" w:rsidRPr="00375A49" w:rsidTr="003C7774">
        <w:trPr>
          <w:cantSplit/>
          <w:trHeight w:val="370"/>
        </w:trPr>
        <w:tc>
          <w:tcPr>
            <w:tcW w:w="92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cstheme="minorHAnsi"/>
                <w:b/>
                <w:sz w:val="18"/>
                <w:szCs w:val="18"/>
              </w:rPr>
              <w:br w:type="page"/>
            </w:r>
            <w:r w:rsidRPr="00375A49">
              <w:rPr>
                <w:rFonts w:cstheme="minorHAnsi"/>
                <w:b/>
                <w:sz w:val="20"/>
                <w:szCs w:val="20"/>
              </w:rPr>
              <w:t>KRITÉRIA</w:t>
            </w:r>
          </w:p>
          <w:p w:rsidR="002D496F" w:rsidRPr="00375A49" w:rsidRDefault="002D496F" w:rsidP="003C7774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D496F" w:rsidRPr="00375A49" w:rsidTr="003C7774">
        <w:trPr>
          <w:trHeight w:val="340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</w:t>
            </w:r>
          </w:p>
        </w:tc>
        <w:tc>
          <w:tcPr>
            <w:tcW w:w="85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Organizace a řízení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</w:t>
            </w:r>
          </w:p>
        </w:tc>
        <w:tc>
          <w:tcPr>
            <w:tcW w:w="85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Systém podpory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a stimulační opatření pro </w:t>
            </w:r>
            <w:r>
              <w:rPr>
                <w:rFonts w:cstheme="minorHAnsi"/>
                <w:sz w:val="18"/>
                <w:szCs w:val="18"/>
              </w:rPr>
              <w:t>kvalitní</w:t>
            </w:r>
            <w:r w:rsidRPr="00375A49">
              <w:rPr>
                <w:rFonts w:cstheme="minorHAnsi"/>
                <w:sz w:val="18"/>
                <w:szCs w:val="18"/>
              </w:rPr>
              <w:t xml:space="preserve"> vědu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4.3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Institucionální pravidla v</w:t>
            </w:r>
            <w:r>
              <w:rPr>
                <w:rFonts w:cstheme="minorHAnsi"/>
                <w:sz w:val="18"/>
                <w:szCs w:val="18"/>
              </w:rPr>
              <w:t xml:space="preserve">yužití institucionální podpory </w:t>
            </w:r>
            <w:r w:rsidRPr="00375A49">
              <w:rPr>
                <w:rFonts w:cstheme="minorHAnsi"/>
                <w:sz w:val="18"/>
                <w:szCs w:val="18"/>
              </w:rPr>
              <w:t>DKRVO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4.4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EE28A6">
              <w:rPr>
                <w:rFonts w:cstheme="minorHAnsi"/>
                <w:sz w:val="18"/>
                <w:szCs w:val="18"/>
              </w:rPr>
              <w:t>Strategie zakládání, financování a dlouhodobého rozvoje a udržitelnosti výzkumných center a velkých výzkumných infrastruktur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4.5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Systém vzdělávání v oblasti ochrany duševního vlastnictví a transferu technologií</w:t>
            </w:r>
          </w:p>
        </w:tc>
      </w:tr>
      <w:tr w:rsidR="002D496F" w:rsidRPr="00375A49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4.6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Organizace doktorského studia</w:t>
            </w:r>
          </w:p>
        </w:tc>
      </w:tr>
      <w:tr w:rsidR="002D496F" w:rsidRPr="00375A49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4.7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Internacionalizace doktorského studia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4.8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Navazující kariéry absolventů doktorského studia (podmínky podpory)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4.9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Pravidla financování doktorských studentů, včetně zahraničních (stimulační a motivační nástroje)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4.10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Významné spolupráce ve VaVaI</w:t>
            </w:r>
            <w:r w:rsidRPr="00375A49">
              <w:rPr>
                <w:rFonts w:cstheme="minorHAnsi"/>
                <w:sz w:val="18"/>
                <w:szCs w:val="18"/>
              </w:rPr>
              <w:t xml:space="preserve"> na národní úrovni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4.11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Významné spolupráce ve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na mezinárodní úrovni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4.12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Mobilita akademických a výzkumných pracovníků (vč. sektorové a mezisektorové mobility) </w:t>
            </w:r>
          </w:p>
        </w:tc>
      </w:tr>
      <w:tr w:rsidR="002D496F" w:rsidRPr="00375A49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4.13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Internacionalizace vnitřního prostředí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4.14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Systém kariérního růstu akademických a výzkumných pracovníků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4.15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Systém hodnocení akademických a výzkumných pracovníků a obsazování klíčových pozic ve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4.16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Systém náboru výzkumných a akademických pracovníků z externího prostředí</w:t>
            </w:r>
          </w:p>
        </w:tc>
      </w:tr>
      <w:tr w:rsidR="002D496F" w:rsidRPr="00375A49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4.17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Struktura lidských zdrojů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4.18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Opatření týkající se genderové </w:t>
            </w:r>
            <w:r>
              <w:rPr>
                <w:rFonts w:cstheme="minorHAnsi"/>
                <w:sz w:val="18"/>
                <w:szCs w:val="18"/>
              </w:rPr>
              <w:t>rovnosti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4.19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rPr>
                <w:rFonts w:cstheme="minorHAnsi"/>
                <w:sz w:val="18"/>
                <w:szCs w:val="18"/>
              </w:rPr>
            </w:pPr>
            <w:r w:rsidRPr="00586632">
              <w:rPr>
                <w:rFonts w:cstheme="minorHAnsi"/>
                <w:sz w:val="18"/>
                <w:szCs w:val="18"/>
              </w:rPr>
              <w:t xml:space="preserve">Struktura finančních zdrojů pro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4.20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Podpora získávání zahraničních výzkumných projektů (vč. strategie k získávání prestižních zahraničních finančních zdrojů pro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lastRenderedPageBreak/>
              <w:t>4.21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Interní a externí systém hodnocení výzkumných jednotek (skupin, týmů, kateder, ústavů)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4.22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Podmínky vzniku nových týmů a zavádění nových výzkumných témat (tzv. start-up strategy)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4.23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rPr>
                <w:rFonts w:cstheme="minorHAnsi"/>
                <w:sz w:val="18"/>
                <w:szCs w:val="18"/>
              </w:rPr>
            </w:pPr>
            <w:r w:rsidRPr="00306319">
              <w:rPr>
                <w:rFonts w:cstheme="minorHAnsi"/>
                <w:sz w:val="18"/>
                <w:szCs w:val="18"/>
              </w:rPr>
              <w:t xml:space="preserve">Externí poradní orgány pro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06319">
              <w:rPr>
                <w:rFonts w:cstheme="minorHAnsi"/>
                <w:sz w:val="18"/>
                <w:szCs w:val="18"/>
              </w:rPr>
              <w:t xml:space="preserve">, nezávislá zpětná vazba pro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4.24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Systém pořizování a obnovy přístrojů a vybavení pro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4.25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Systém sdílení přístrojů a vybavení pro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</w:tr>
      <w:tr w:rsidR="002D496F" w:rsidRPr="00375A49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4.26</w:t>
            </w:r>
          </w:p>
        </w:tc>
        <w:tc>
          <w:tcPr>
            <w:tcW w:w="85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Vnitřní pravidla a opatření pro udržování dobré praxe ve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(např. Code of Conduct for Research Integrity, Ethical Issues)</w:t>
            </w:r>
          </w:p>
        </w:tc>
      </w:tr>
      <w:tr w:rsidR="002D496F" w:rsidRPr="00375A49" w:rsidTr="003C7774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4.27</w:t>
            </w:r>
          </w:p>
        </w:tc>
        <w:tc>
          <w:tcPr>
            <w:tcW w:w="85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Strategie otevřeného přístupu k informacím z 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(Open Access)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4.28</w:t>
            </w:r>
          </w:p>
        </w:tc>
        <w:tc>
          <w:tcPr>
            <w:tcW w:w="85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Strategie správy výzkumných dat (Data Management)</w:t>
            </w:r>
          </w:p>
        </w:tc>
      </w:tr>
    </w:tbl>
    <w:p w:rsidR="002D496F" w:rsidRPr="00375A49" w:rsidRDefault="002D496F" w:rsidP="002D496F">
      <w:pPr>
        <w:pStyle w:val="Textpoznpodarou"/>
        <w:rPr>
          <w:lang w:val="cs-CZ"/>
        </w:rPr>
      </w:pPr>
    </w:p>
    <w:p w:rsidR="002D496F" w:rsidRPr="00375A49" w:rsidRDefault="002D496F" w:rsidP="002D496F">
      <w:pPr>
        <w:pStyle w:val="Nzev"/>
        <w:outlineLvl w:val="9"/>
      </w:pPr>
      <w:bookmarkStart w:id="142" w:name="_Toc5119948"/>
      <w:r w:rsidRPr="00375A49">
        <w:t>Bodové hodnocení každého kritéria se následně doplní o slovní hodnocení vč. nepovinného doporučení</w:t>
      </w:r>
      <w:r w:rsidRPr="00AE4274">
        <w:t xml:space="preserve">. Celkové </w:t>
      </w:r>
      <w:r w:rsidRPr="00375A49">
        <w:t>hodnocení v</w:t>
      </w:r>
      <w:r>
        <w:t xml:space="preserve"> modulu</w:t>
      </w:r>
      <w:r w:rsidRPr="00375A49">
        <w:t xml:space="preserve"> M4 se </w:t>
      </w:r>
      <w:r>
        <w:t>stanoví</w:t>
      </w:r>
      <w:r w:rsidRPr="00375A49">
        <w:t xml:space="preserve"> pomocí stupnice hodnocení (viz</w:t>
      </w:r>
      <w:r>
        <w:t> </w:t>
      </w:r>
      <w:r w:rsidR="00AA5B7E">
        <w:t>tab.  6</w:t>
      </w:r>
      <w:r w:rsidRPr="00375A49">
        <w:t>).</w:t>
      </w:r>
      <w:bookmarkEnd w:id="142"/>
    </w:p>
    <w:p w:rsidR="002D496F" w:rsidRPr="00375A49" w:rsidRDefault="002D496F" w:rsidP="002D496F">
      <w:pPr>
        <w:pStyle w:val="Nzev"/>
        <w:outlineLvl w:val="9"/>
      </w:pPr>
      <w:bookmarkStart w:id="143" w:name="_Toc5119949"/>
      <w:r w:rsidRPr="00375A49">
        <w:t xml:space="preserve">Tabulka </w:t>
      </w:r>
      <w:bookmarkEnd w:id="143"/>
      <w:r>
        <w:t>6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2D496F" w:rsidRPr="00375A49" w:rsidTr="003C7774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2D496F" w:rsidRPr="00375A49" w:rsidRDefault="002D496F" w:rsidP="003C7774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STUPNICE HODNOCENÍ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44" w:name="_Toc5119950"/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&gt;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126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bookmarkEnd w:id="144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45" w:name="_Toc5119951"/>
            <w:r>
              <w:rPr>
                <w:rFonts w:asciiTheme="minorHAnsi" w:hAnsiTheme="minorHAnsi" w:cstheme="minorHAnsi"/>
                <w:sz w:val="18"/>
                <w:szCs w:val="18"/>
              </w:rPr>
              <w:t>99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126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45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46" w:name="_Toc5119952"/>
            <w:r>
              <w:rPr>
                <w:rFonts w:asciiTheme="minorHAnsi" w:hAnsiTheme="minorHAnsi" w:cstheme="minorHAnsi"/>
                <w:sz w:val="18"/>
                <w:szCs w:val="18"/>
              </w:rPr>
              <w:t>71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98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46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47" w:name="_Toc5119953"/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70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47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48" w:name="_Toc5119954"/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48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bookmarkStart w:id="149" w:name="_Toc5119955"/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0–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bookmarkEnd w:id="149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2D496F" w:rsidRPr="00375A49" w:rsidRDefault="002D496F" w:rsidP="002D496F">
      <w:pPr>
        <w:rPr>
          <w:rFonts w:cstheme="minorHAnsi"/>
          <w:b/>
          <w:sz w:val="30"/>
          <w:szCs w:val="30"/>
          <w:lang w:val="cs-CZ"/>
        </w:rPr>
      </w:pPr>
    </w:p>
    <w:p w:rsidR="002D496F" w:rsidRPr="00375A49" w:rsidRDefault="002D496F" w:rsidP="002D496F">
      <w:pPr>
        <w:rPr>
          <w:rFonts w:cstheme="minorHAnsi"/>
          <w:b/>
          <w:sz w:val="30"/>
          <w:szCs w:val="30"/>
          <w:lang w:val="cs-CZ"/>
        </w:rPr>
      </w:pPr>
      <w:r w:rsidRPr="00375A49">
        <w:rPr>
          <w:rFonts w:cstheme="minorHAnsi"/>
          <w:b/>
          <w:sz w:val="30"/>
          <w:szCs w:val="30"/>
          <w:lang w:val="cs-CZ"/>
        </w:rPr>
        <w:br w:type="page"/>
      </w:r>
    </w:p>
    <w:p w:rsidR="002D496F" w:rsidRPr="00375A49" w:rsidRDefault="002D496F" w:rsidP="002D496F">
      <w:pPr>
        <w:pStyle w:val="Nadpis3"/>
      </w:pPr>
      <w:bookmarkStart w:id="150" w:name="_Toc5133502"/>
      <w:bookmarkStart w:id="151" w:name="_Toc6493956"/>
      <w:bookmarkStart w:id="152" w:name="_Toc7772768"/>
      <w:bookmarkStart w:id="153" w:name="_Toc9420181"/>
      <w:bookmarkStart w:id="154" w:name="_Toc11664138"/>
      <w:r w:rsidRPr="00375A49">
        <w:lastRenderedPageBreak/>
        <w:t>BODOVÉ HODNOCENÍ MODULU M5</w:t>
      </w:r>
      <w:bookmarkEnd w:id="150"/>
      <w:bookmarkEnd w:id="151"/>
      <w:bookmarkEnd w:id="152"/>
      <w:bookmarkEnd w:id="153"/>
      <w:bookmarkEnd w:id="154"/>
    </w:p>
    <w:p w:rsidR="002D496F" w:rsidRPr="00375A49" w:rsidRDefault="002D496F" w:rsidP="002D496F">
      <w:pPr>
        <w:pStyle w:val="W3MUZkonParagrafNzev"/>
        <w:tabs>
          <w:tab w:val="num" w:pos="0"/>
        </w:tabs>
        <w:spacing w:before="0" w:after="120"/>
        <w:rPr>
          <w:color w:val="auto"/>
          <w:sz w:val="18"/>
          <w:szCs w:val="18"/>
        </w:rPr>
      </w:pPr>
    </w:p>
    <w:p w:rsidR="002D496F" w:rsidRPr="00375A49" w:rsidRDefault="002D496F" w:rsidP="002D496F">
      <w:pPr>
        <w:pStyle w:val="Nzev"/>
        <w:outlineLvl w:val="9"/>
      </w:pPr>
      <w:bookmarkStart w:id="155" w:name="_Toc5119956"/>
      <w:r w:rsidRPr="00375A49">
        <w:t>Hodnocenou jednotkou v</w:t>
      </w:r>
      <w:r>
        <w:t xml:space="preserve"> modulu </w:t>
      </w:r>
      <w:r w:rsidRPr="00375A49">
        <w:t xml:space="preserve">M5 je vysoká škola jako celek. Hodnocení sleduje, zda má vysoká škola stanovenou strategii a koncepci a jaký je její přínos k naplňování odvětvových, případně národních strategických dokumentů (politik, akčních plánů, priorit apod.). Hodnoceno je jak předchozí období, tak především předpoklad </w:t>
      </w:r>
      <w:r w:rsidRPr="00D30CCD">
        <w:t>budoucího vývoje.</w:t>
      </w:r>
      <w:bookmarkEnd w:id="155"/>
    </w:p>
    <w:p w:rsidR="002D496F" w:rsidRPr="00375A49" w:rsidRDefault="002D496F" w:rsidP="002D496F">
      <w:pPr>
        <w:pStyle w:val="Nzev"/>
        <w:outlineLvl w:val="9"/>
      </w:pPr>
      <w:bookmarkStart w:id="156" w:name="_Toc5119957"/>
      <w:r>
        <w:t xml:space="preserve">Modul </w:t>
      </w:r>
      <w:r w:rsidRPr="00375A49">
        <w:t>M</w:t>
      </w:r>
      <w:r>
        <w:t>5</w:t>
      </w:r>
      <w:r w:rsidRPr="00375A49">
        <w:t xml:space="preserve"> nezohledňuje kalibraci pro jednotlivé kategorie FORD.</w:t>
      </w:r>
    </w:p>
    <w:p w:rsidR="002D496F" w:rsidRDefault="002D496F" w:rsidP="002D496F">
      <w:pPr>
        <w:pStyle w:val="Nzev"/>
        <w:outlineLvl w:val="9"/>
      </w:pPr>
      <w:r w:rsidRPr="00375A49">
        <w:t xml:space="preserve">Kvantitativní hodnocení </w:t>
      </w:r>
      <w:r>
        <w:t xml:space="preserve">modulu </w:t>
      </w:r>
      <w:r w:rsidRPr="00375A49">
        <w:t xml:space="preserve">M5 vychází z bodového hodnocení 5 kritérií. </w:t>
      </w:r>
      <w:bookmarkStart w:id="157" w:name="_Toc5119958"/>
      <w:bookmarkEnd w:id="156"/>
      <w:r>
        <w:t>Každé kritérium je ohodnoceno body v rozmezí 0 – 5 určující jednotlivé stupně hodnocení</w:t>
      </w:r>
      <w:r w:rsidRPr="00282A5F" w:rsidDel="00DA49E5">
        <w:t xml:space="preserve"> </w:t>
      </w:r>
      <w:r w:rsidRPr="00282A5F">
        <w:t>(viz tab. </w:t>
      </w:r>
      <w:r>
        <w:t>7</w:t>
      </w:r>
      <w:r w:rsidRPr="00282A5F">
        <w:t>). Maximáln</w:t>
      </w:r>
      <w:r>
        <w:t>í</w:t>
      </w:r>
      <w:r w:rsidRPr="00282A5F">
        <w:t xml:space="preserve"> </w:t>
      </w:r>
      <w:r>
        <w:t xml:space="preserve">bodové ohodnocení </w:t>
      </w:r>
      <w:r w:rsidRPr="00282A5F">
        <w:t xml:space="preserve">je </w:t>
      </w:r>
      <w:r>
        <w:t>25</w:t>
      </w:r>
      <w:r w:rsidRPr="00282A5F">
        <w:t xml:space="preserve"> bodů</w:t>
      </w:r>
      <w:r>
        <w:t>.</w:t>
      </w:r>
    </w:p>
    <w:p w:rsidR="002D496F" w:rsidRPr="00375A49" w:rsidRDefault="002D496F" w:rsidP="002D496F">
      <w:pPr>
        <w:pStyle w:val="Nzev"/>
        <w:outlineLvl w:val="9"/>
        <w:rPr>
          <w:b/>
        </w:rPr>
      </w:pPr>
      <w:r w:rsidRPr="00375A49">
        <w:t xml:space="preserve">Tabulka </w:t>
      </w:r>
      <w:bookmarkEnd w:id="157"/>
      <w:r>
        <w:t>7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2D496F" w:rsidRPr="00375A49" w:rsidTr="003C7774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2D496F" w:rsidRPr="00375A49" w:rsidRDefault="002D496F" w:rsidP="003C7774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STUPNĚ HODNOCENÍ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58" w:name="_Toc5119959"/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5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bookmarkEnd w:id="158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59" w:name="_Toc5119960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59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60" w:name="_Toc5119961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60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61" w:name="_Toc5119962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61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62" w:name="_Toc5119963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bod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62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bookmarkStart w:id="163" w:name="_Toc5119964"/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bodů</w:t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bookmarkEnd w:id="163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2D496F" w:rsidRPr="00375A49" w:rsidRDefault="002D496F" w:rsidP="002D496F">
      <w:pPr>
        <w:jc w:val="both"/>
        <w:rPr>
          <w:b/>
          <w:lang w:val="cs-CZ"/>
        </w:rPr>
      </w:pPr>
    </w:p>
    <w:p w:rsidR="002D496F" w:rsidRPr="00375A49" w:rsidRDefault="002D496F" w:rsidP="002D496F">
      <w:pPr>
        <w:pStyle w:val="Nzev"/>
        <w:outlineLvl w:val="9"/>
      </w:pPr>
      <w:bookmarkStart w:id="164" w:name="_Toc5119965"/>
      <w:r w:rsidRPr="00375A49">
        <w:t xml:space="preserve">Jednotlivá hodnoticí kritéria v rámci </w:t>
      </w:r>
      <w:r>
        <w:t xml:space="preserve">modulu </w:t>
      </w:r>
      <w:r w:rsidRPr="00375A49">
        <w:t xml:space="preserve">M5 znázorňuje tab. </w:t>
      </w:r>
      <w:r>
        <w:t>8</w:t>
      </w:r>
      <w:r w:rsidRPr="00375A49">
        <w:t>.</w:t>
      </w:r>
    </w:p>
    <w:p w:rsidR="002D496F" w:rsidRPr="00375A49" w:rsidRDefault="002D496F" w:rsidP="002D496F">
      <w:pPr>
        <w:pStyle w:val="Nzev"/>
        <w:outlineLvl w:val="9"/>
      </w:pPr>
      <w:r w:rsidRPr="00375A49">
        <w:t xml:space="preserve">Tabulka </w:t>
      </w:r>
      <w:bookmarkEnd w:id="164"/>
      <w:r>
        <w:t>8</w:t>
      </w:r>
    </w:p>
    <w:tbl>
      <w:tblPr>
        <w:tblStyle w:val="Mkatabulky"/>
        <w:tblW w:w="9222" w:type="dxa"/>
        <w:tblInd w:w="-23" w:type="dxa"/>
        <w:tblLayout w:type="fixed"/>
        <w:tblLook w:val="04A0"/>
      </w:tblPr>
      <w:tblGrid>
        <w:gridCol w:w="667"/>
        <w:gridCol w:w="8555"/>
      </w:tblGrid>
      <w:tr w:rsidR="002D496F" w:rsidRPr="00375A49" w:rsidTr="003C7774">
        <w:trPr>
          <w:cantSplit/>
          <w:trHeight w:val="340"/>
        </w:trPr>
        <w:tc>
          <w:tcPr>
            <w:tcW w:w="92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>KRITÉRIA</w:t>
            </w:r>
          </w:p>
          <w:p w:rsidR="002D496F" w:rsidRPr="00375A49" w:rsidRDefault="002D496F" w:rsidP="003C7774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D496F" w:rsidRPr="00375A49" w:rsidTr="003C7774">
        <w:trPr>
          <w:trHeight w:val="397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5.1</w:t>
            </w:r>
          </w:p>
        </w:tc>
        <w:tc>
          <w:tcPr>
            <w:tcW w:w="855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Mise a vize hodnocené instituce ve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</w:tr>
      <w:tr w:rsidR="002D496F" w:rsidRPr="00375A49" w:rsidTr="003C7774">
        <w:trPr>
          <w:trHeight w:val="397"/>
        </w:trPr>
        <w:tc>
          <w:tcPr>
            <w:tcW w:w="6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5.2</w:t>
            </w:r>
          </w:p>
        </w:tc>
        <w:tc>
          <w:tcPr>
            <w:tcW w:w="8555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Výzkumné cíle a strategie pro období do dalšího hodnocení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5.3</w:t>
            </w:r>
          </w:p>
        </w:tc>
        <w:tc>
          <w:tcPr>
            <w:tcW w:w="855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Vazba na plnění vyšších národních a nadnárodních strategických cílů a opatření v oblasti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</w:tr>
      <w:tr w:rsidR="002D496F" w:rsidRPr="0099636E" w:rsidTr="003C7774">
        <w:trPr>
          <w:trHeight w:val="283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5.4</w:t>
            </w:r>
          </w:p>
        </w:tc>
        <w:tc>
          <w:tcPr>
            <w:tcW w:w="85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914D56">
              <w:rPr>
                <w:rFonts w:cstheme="minorHAnsi"/>
                <w:sz w:val="18"/>
                <w:szCs w:val="18"/>
              </w:rPr>
              <w:t>Strategie a nástroje strategického řízení pro zvyšování mezinárodní nebo oborové konkurenceschopnosti výzkumné činnosti vysoké školy a její kvality</w:t>
            </w:r>
          </w:p>
        </w:tc>
      </w:tr>
      <w:tr w:rsidR="002D496F" w:rsidRPr="0099636E" w:rsidTr="003C7774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5.5</w:t>
            </w:r>
          </w:p>
        </w:tc>
        <w:tc>
          <w:tcPr>
            <w:tcW w:w="85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D496F" w:rsidRPr="00375A49" w:rsidRDefault="002D496F" w:rsidP="003C7774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Institucionální nástroje pro naplňování výzkumné strategie s důrazem na podporu kvalitního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a inovativního prostředí</w:t>
            </w:r>
          </w:p>
        </w:tc>
      </w:tr>
    </w:tbl>
    <w:p w:rsidR="002D496F" w:rsidRPr="00375A49" w:rsidRDefault="002D496F" w:rsidP="002D496F">
      <w:pPr>
        <w:pStyle w:val="W3MUZkonOdstavecslovan"/>
        <w:jc w:val="both"/>
        <w:outlineLvl w:val="9"/>
        <w:rPr>
          <w:sz w:val="10"/>
          <w:szCs w:val="10"/>
        </w:rPr>
      </w:pPr>
    </w:p>
    <w:p w:rsidR="002D496F" w:rsidRPr="00375A49" w:rsidRDefault="002D496F" w:rsidP="002D496F">
      <w:pPr>
        <w:pStyle w:val="Nzev"/>
        <w:outlineLvl w:val="9"/>
      </w:pPr>
      <w:bookmarkStart w:id="165" w:name="_Toc5119967"/>
      <w:r w:rsidRPr="00375A49">
        <w:t>Bodové hodnocení každého kritéria se následně doplní o slovní hodnocení vč. nepovinného doporučení</w:t>
      </w:r>
      <w:r w:rsidRPr="00AE4274">
        <w:t xml:space="preserve">. Celkové </w:t>
      </w:r>
      <w:r w:rsidRPr="00375A49">
        <w:t>hodnocení v</w:t>
      </w:r>
      <w:r>
        <w:t xml:space="preserve"> modulu </w:t>
      </w:r>
      <w:r w:rsidRPr="00375A49">
        <w:t xml:space="preserve">M5 se </w:t>
      </w:r>
      <w:r>
        <w:t>stanoví</w:t>
      </w:r>
      <w:r w:rsidRPr="00375A49">
        <w:t xml:space="preserve"> pomocí stupnice hodnocení (viz</w:t>
      </w:r>
      <w:r>
        <w:t> </w:t>
      </w:r>
      <w:r w:rsidRPr="00375A49">
        <w:t>tab. </w:t>
      </w:r>
      <w:r w:rsidR="008B6F89">
        <w:t>9</w:t>
      </w:r>
      <w:r w:rsidRPr="00375A49">
        <w:t>).</w:t>
      </w:r>
      <w:bookmarkStart w:id="166" w:name="_Toc5119968"/>
      <w:bookmarkEnd w:id="165"/>
    </w:p>
    <w:p w:rsidR="002D496F" w:rsidRPr="00375A49" w:rsidRDefault="002D496F" w:rsidP="002D496F">
      <w:pPr>
        <w:pStyle w:val="Nzev"/>
        <w:outlineLvl w:val="9"/>
      </w:pPr>
      <w:r w:rsidRPr="00375A49">
        <w:t xml:space="preserve">Tabulka </w:t>
      </w:r>
      <w:bookmarkEnd w:id="166"/>
      <w:r>
        <w:t>9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2D496F" w:rsidRPr="00375A49" w:rsidTr="003C7774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2D496F" w:rsidRPr="00375A49" w:rsidRDefault="002D496F" w:rsidP="003C77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>STUPNICE HODNOCENÍ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67" w:name="_Toc5119969"/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&gt; 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bookmarkEnd w:id="167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68" w:name="_Toc5119970"/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–2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68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69" w:name="_Toc5119971"/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–1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69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70" w:name="_Toc5119972"/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–1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70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bookmarkStart w:id="171" w:name="_Toc5119973"/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bookmarkEnd w:id="171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2D496F" w:rsidRPr="00375A49" w:rsidRDefault="002D496F" w:rsidP="003C7774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bookmarkStart w:id="172" w:name="_Toc5119974"/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0–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bookmarkEnd w:id="172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2D496F" w:rsidRDefault="002D496F" w:rsidP="002D496F"/>
    <w:p w:rsidR="00EC0B12" w:rsidRDefault="00EC0B12" w:rsidP="00EC0B12"/>
    <w:p w:rsidR="002D496F" w:rsidRDefault="002D496F" w:rsidP="00EC0B12"/>
    <w:p w:rsidR="00BC3ACE" w:rsidRPr="00D93EC3" w:rsidRDefault="00BC3ACE" w:rsidP="00EC0B12">
      <w:pPr>
        <w:pStyle w:val="Nadpis3"/>
      </w:pPr>
      <w:bookmarkStart w:id="173" w:name="_Toc11664139"/>
      <w:r w:rsidRPr="00D93EC3">
        <w:lastRenderedPageBreak/>
        <w:t>SYNTÉZA MODULŮ M4 A M5</w:t>
      </w:r>
      <w:bookmarkEnd w:id="131"/>
      <w:bookmarkEnd w:id="173"/>
    </w:p>
    <w:p w:rsidR="00BC3ACE" w:rsidRPr="00D93EC3" w:rsidRDefault="00BC3ACE" w:rsidP="001F4432">
      <w:pPr>
        <w:pStyle w:val="W3MUZkonParagrafNzev"/>
        <w:shd w:val="clear" w:color="auto" w:fill="FFFFFF" w:themeFill="background1"/>
        <w:tabs>
          <w:tab w:val="num" w:pos="0"/>
        </w:tabs>
        <w:spacing w:before="0" w:after="120"/>
        <w:rPr>
          <w:color w:val="auto"/>
          <w:sz w:val="18"/>
          <w:szCs w:val="18"/>
        </w:rPr>
      </w:pPr>
    </w:p>
    <w:p w:rsidR="00BC3ACE" w:rsidRPr="00D93EC3" w:rsidRDefault="00BC3ACE" w:rsidP="001F4432">
      <w:pPr>
        <w:shd w:val="clear" w:color="auto" w:fill="FFFFFF" w:themeFill="background1"/>
        <w:jc w:val="both"/>
        <w:rPr>
          <w:rFonts w:cstheme="minorHAnsi"/>
          <w:lang w:val="cs-CZ"/>
        </w:rPr>
      </w:pPr>
      <w:r w:rsidRPr="00D93EC3">
        <w:rPr>
          <w:rFonts w:cstheme="minorHAnsi"/>
          <w:lang w:val="cs-CZ"/>
        </w:rPr>
        <w:t>Moduly M4 a M5 představují jednotný organický celek, protože tvoří logickou koncepční jednotku. Na modul M4, který představuje výzkumnou organizaci na základě retrospektivních dat, navazuje modul M5 SWOT analýzou s projekcí do nastavení hlavního cíle, vize v souladu s misí vysoké školy a tvorby strategie a koncepce. Z tohoto důvodu bude i struktura sebeevaluační zprávy pro moduly M4 a M5 tvořit jeden celek.</w:t>
      </w:r>
    </w:p>
    <w:p w:rsidR="00BC3ACE" w:rsidRPr="00D93EC3" w:rsidRDefault="00D93EC3" w:rsidP="001F4432">
      <w:pPr>
        <w:shd w:val="clear" w:color="auto" w:fill="FFFFFF" w:themeFill="background1"/>
        <w:tabs>
          <w:tab w:val="left" w:pos="6555"/>
        </w:tabs>
        <w:jc w:val="both"/>
        <w:rPr>
          <w:rFonts w:cstheme="minorHAnsi"/>
          <w:lang w:val="cs-CZ"/>
        </w:rPr>
      </w:pPr>
      <w:r w:rsidRPr="00D93EC3">
        <w:rPr>
          <w:rFonts w:cstheme="minorHAnsi"/>
          <w:lang w:val="cs-CZ"/>
        </w:rPr>
        <w:tab/>
      </w:r>
    </w:p>
    <w:p w:rsidR="00BC3ACE" w:rsidRPr="001F4432" w:rsidRDefault="00BC3ACE" w:rsidP="001F4432">
      <w:pPr>
        <w:pStyle w:val="Nzev"/>
        <w:shd w:val="clear" w:color="auto" w:fill="FFFFFF" w:themeFill="background1"/>
        <w:outlineLvl w:val="9"/>
      </w:pPr>
      <w:r w:rsidRPr="00D93EC3">
        <w:t>Celkové kvantitativní hodnocení modulů M4 a M5 je součtem bodového hodnocení 28 kritérií z modulu M4</w:t>
      </w:r>
      <w:r w:rsidRPr="001F4432">
        <w:t xml:space="preserve"> a bodového hodnocení 5 kritérií z modulu M5 a stanoví se pomocí stupnice celkového hodnocení (viz tab. </w:t>
      </w:r>
      <w:r w:rsidR="00D15BE3">
        <w:t>10</w:t>
      </w:r>
      <w:r w:rsidRPr="001F4432">
        <w:t>).  Maximálně dosažitelný počet je 165 bodů.</w:t>
      </w:r>
    </w:p>
    <w:p w:rsidR="00BC3ACE" w:rsidRPr="001F4432" w:rsidRDefault="00BC3ACE" w:rsidP="001F4432">
      <w:pPr>
        <w:pStyle w:val="Nzev"/>
        <w:shd w:val="clear" w:color="auto" w:fill="FFFFFF" w:themeFill="background1"/>
        <w:outlineLvl w:val="9"/>
      </w:pPr>
      <w:r w:rsidRPr="001F4432">
        <w:t xml:space="preserve">Tabulka </w:t>
      </w:r>
      <w:r w:rsidR="00D15BE3">
        <w:t>10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6B3618">
        <w:trPr>
          <w:cantSplit/>
          <w:trHeight w:val="296"/>
        </w:trPr>
        <w:tc>
          <w:tcPr>
            <w:tcW w:w="9214" w:type="dxa"/>
            <w:shd w:val="clear" w:color="auto" w:fill="auto"/>
          </w:tcPr>
          <w:p w:rsidR="00BC3ACE" w:rsidRPr="001F4432" w:rsidRDefault="00BC3ACE" w:rsidP="001F4432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1F4432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</w:t>
            </w:r>
            <w:r w:rsidRPr="001F4432">
              <w:rPr>
                <w:rFonts w:cstheme="minorHAnsi"/>
                <w:b/>
                <w:sz w:val="20"/>
                <w:szCs w:val="20"/>
              </w:rPr>
              <w:t>STUPNICE CELKOVÉHO HODNOCENÍ M4 A M5</w:t>
            </w:r>
          </w:p>
          <w:p w:rsidR="00BC3ACE" w:rsidRPr="001F4432" w:rsidRDefault="00BC3ACE" w:rsidP="001F4432">
            <w:pPr>
              <w:pStyle w:val="W3MUZkonOdstavecslovan"/>
              <w:shd w:val="clear" w:color="auto" w:fill="FFFFFF" w:themeFill="background1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F4432">
              <w:rPr>
                <w:rFonts w:asciiTheme="minorHAnsi" w:hAnsiTheme="minorHAnsi" w:cstheme="minorHAnsi"/>
                <w:sz w:val="18"/>
                <w:szCs w:val="18"/>
              </w:rPr>
              <w:t>&gt; 1</w:t>
            </w:r>
            <w:r w:rsidR="00D2695D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  <w:r w:rsidRPr="001F4432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1F443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1F443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1F443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24D9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BC3ACE" w:rsidRPr="00D93EC3" w:rsidRDefault="00BC3ACE" w:rsidP="001F4432">
            <w:pPr>
              <w:pStyle w:val="W3MUZkonOdstavecslovan"/>
              <w:shd w:val="clear" w:color="auto" w:fill="FFFFFF" w:themeFill="background1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93EC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2695D">
              <w:rPr>
                <w:rFonts w:asciiTheme="minorHAnsi" w:hAnsiTheme="minorHAnsi" w:cstheme="minorHAnsi"/>
                <w:sz w:val="18"/>
                <w:szCs w:val="18"/>
              </w:rPr>
              <w:t>06</w:t>
            </w:r>
            <w:r w:rsidRPr="00D93EC3">
              <w:rPr>
                <w:rFonts w:asciiTheme="minorHAnsi" w:hAnsiTheme="minorHAnsi" w:cstheme="minorHAnsi"/>
                <w:sz w:val="18"/>
                <w:szCs w:val="18"/>
              </w:rPr>
              <w:t>–1</w:t>
            </w:r>
            <w:r w:rsidR="00D2695D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  <w:r w:rsidRPr="00D93EC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D93EC3" w:rsidRDefault="00D2695D" w:rsidP="001F4432">
            <w:pPr>
              <w:pStyle w:val="W3MUZkonOdstavecslovan"/>
              <w:shd w:val="clear" w:color="auto" w:fill="FFFFFF" w:themeFill="background1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83</w:t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</w:rPr>
              <w:t>–1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05</w:t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D93EC3" w:rsidRDefault="00D2695D" w:rsidP="001F4432">
            <w:pPr>
              <w:pStyle w:val="W3MUZkonOdstavecslovan"/>
              <w:shd w:val="clear" w:color="auto" w:fill="FFFFFF" w:themeFill="background1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</w:rPr>
              <w:t>0–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82</w:t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D93EC3" w:rsidRDefault="00D2695D" w:rsidP="001F4432">
            <w:pPr>
              <w:pStyle w:val="W3MUZkonOdstavecslovan"/>
              <w:shd w:val="clear" w:color="auto" w:fill="FFFFFF" w:themeFill="background1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</w:rPr>
              <w:t>9 bodů</w:t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D93E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BC3ACE" w:rsidRPr="00375A49" w:rsidRDefault="00BC3ACE" w:rsidP="00D2695D">
            <w:pPr>
              <w:pStyle w:val="W3MUZkonOdstavecslovan"/>
              <w:shd w:val="clear" w:color="auto" w:fill="FFFFFF" w:themeFill="background1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 w:rsidRPr="00D93EC3">
              <w:rPr>
                <w:rFonts w:asciiTheme="minorHAnsi" w:hAnsiTheme="minorHAnsi" w:cstheme="minorHAnsi"/>
                <w:sz w:val="18"/>
                <w:szCs w:val="18"/>
              </w:rPr>
              <w:t>0–</w:t>
            </w:r>
            <w:r w:rsidR="00D2695D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  <w:r w:rsidRPr="00D93EC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D93EC3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D93EC3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D93EC3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913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BC3ACE" w:rsidRDefault="00BC3ACE" w:rsidP="00BC3ACE">
      <w:pPr>
        <w:rPr>
          <w:rFonts w:cstheme="minorHAnsi"/>
          <w:b/>
          <w:sz w:val="30"/>
          <w:szCs w:val="30"/>
          <w:lang w:val="cs-CZ"/>
        </w:rPr>
      </w:pPr>
    </w:p>
    <w:p w:rsidR="00BC3ACE" w:rsidRDefault="00BC3ACE" w:rsidP="00BC3ACE">
      <w:pPr>
        <w:rPr>
          <w:rFonts w:cstheme="minorHAnsi"/>
          <w:b/>
          <w:bCs/>
          <w:lang w:val="cs-CZ"/>
        </w:rPr>
      </w:pPr>
      <w:r>
        <w:rPr>
          <w:rFonts w:cstheme="minorHAnsi"/>
          <w:b/>
          <w:bCs/>
          <w:lang w:val="cs-CZ"/>
        </w:rPr>
        <w:br w:type="page"/>
      </w:r>
    </w:p>
    <w:p w:rsidR="00BC3ACE" w:rsidRPr="00375A49" w:rsidRDefault="00BC3ACE" w:rsidP="00BC3AC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  <w:r w:rsidRPr="00375A49">
        <w:rPr>
          <w:rFonts w:cstheme="minorHAnsi"/>
          <w:b/>
          <w:bCs/>
          <w:lang w:val="cs-CZ"/>
        </w:rPr>
        <w:lastRenderedPageBreak/>
        <w:t>___________________________________________________________________________</w:t>
      </w:r>
    </w:p>
    <w:p w:rsidR="00BC3ACE" w:rsidRPr="007E7656" w:rsidRDefault="00BC3ACE" w:rsidP="00BC3ACE">
      <w:pPr>
        <w:pStyle w:val="Nadpis2"/>
        <w:numPr>
          <w:ilvl w:val="1"/>
          <w:numId w:val="14"/>
        </w:numPr>
      </w:pPr>
      <w:bookmarkStart w:id="174" w:name="_Toc6493961"/>
      <w:bookmarkStart w:id="175" w:name="_Toc7772770"/>
      <w:bookmarkStart w:id="176" w:name="_Toc11664140"/>
      <w:r>
        <w:t xml:space="preserve">HODNOCENÍ </w:t>
      </w:r>
      <w:r w:rsidRPr="007E7656">
        <w:t>STÁTNÍ VYSOKÉ ŠKOLY VOJENSKÉ V MODULECH  M3-M5</w:t>
      </w:r>
      <w:bookmarkEnd w:id="174"/>
      <w:bookmarkEnd w:id="175"/>
      <w:bookmarkEnd w:id="176"/>
    </w:p>
    <w:p w:rsidR="00BC3ACE" w:rsidRDefault="00BC3ACE" w:rsidP="00BC3ACE">
      <w:pPr>
        <w:widowControl w:val="0"/>
        <w:autoSpaceDE w:val="0"/>
        <w:autoSpaceDN w:val="0"/>
        <w:adjustRightInd w:val="0"/>
        <w:spacing w:line="240" w:lineRule="atLeast"/>
        <w:rPr>
          <w:rFonts w:cstheme="minorHAnsi"/>
          <w:b/>
          <w:sz w:val="16"/>
          <w:szCs w:val="16"/>
          <w:lang w:val="cs-CZ"/>
        </w:rPr>
      </w:pPr>
    </w:p>
    <w:p w:rsidR="00BC3ACE" w:rsidRPr="00375A49" w:rsidRDefault="00BC3ACE" w:rsidP="00EC0B12">
      <w:pPr>
        <w:pStyle w:val="Nadpis3"/>
      </w:pPr>
      <w:bookmarkStart w:id="177" w:name="_Toc6493962"/>
      <w:bookmarkStart w:id="178" w:name="_Toc7772771"/>
      <w:bookmarkStart w:id="179" w:name="_Toc11664141"/>
      <w:r w:rsidRPr="00375A49">
        <w:t>KALIBRACE A BODOVÉ HODNOCENÍ MODULU M3</w:t>
      </w:r>
      <w:bookmarkEnd w:id="177"/>
      <w:bookmarkEnd w:id="178"/>
      <w:bookmarkEnd w:id="179"/>
    </w:p>
    <w:p w:rsidR="00BC3ACE" w:rsidRPr="00375A49" w:rsidRDefault="00BC3ACE" w:rsidP="00BC3ACE">
      <w:pPr>
        <w:pStyle w:val="W3MUZkonOdstavecslovan"/>
        <w:jc w:val="both"/>
        <w:outlineLvl w:val="9"/>
        <w:rPr>
          <w:rFonts w:asciiTheme="minorHAnsi" w:hAnsiTheme="minorHAnsi" w:cstheme="minorHAnsi"/>
          <w:sz w:val="22"/>
        </w:rPr>
      </w:pPr>
    </w:p>
    <w:p w:rsidR="00BC3ACE" w:rsidRDefault="00BC3ACE" w:rsidP="00BC3ACE">
      <w:pPr>
        <w:pStyle w:val="Styl123"/>
        <w:outlineLvl w:val="9"/>
      </w:pPr>
      <w:r w:rsidRPr="004044B3">
        <w:t>Modul</w:t>
      </w:r>
      <w:r>
        <w:t xml:space="preserve"> </w:t>
      </w:r>
      <w:r w:rsidRPr="00375A49">
        <w:t xml:space="preserve">M3 je důležitý zejména pro vysoké školy, které provádějí </w:t>
      </w:r>
      <w:r w:rsidRPr="002461DA">
        <w:t xml:space="preserve">aplikovaný </w:t>
      </w:r>
      <w:r w:rsidR="00D30CCD" w:rsidRPr="002461DA">
        <w:t>výzkum</w:t>
      </w:r>
      <w:r w:rsidR="000749D0">
        <w:t>,</w:t>
      </w:r>
      <w:r w:rsidRPr="00375A49">
        <w:t xml:space="preserve"> přímo slouží uživatelům, jako jsou průmyslová odvětví, veřejný sektor nebo jiné výzkumné organizace. </w:t>
      </w:r>
    </w:p>
    <w:p w:rsidR="00C07892" w:rsidRPr="00375A49" w:rsidRDefault="00C07892" w:rsidP="00BC3ACE">
      <w:pPr>
        <w:pStyle w:val="Styl123"/>
        <w:outlineLvl w:val="9"/>
      </w:pPr>
      <w:r w:rsidRPr="003116C4">
        <w:t xml:space="preserve">Obecně platí, že hodnocenou jednotkou v modulu M3 je fakulta nebo jiná relevantní součást vysoké školy. Pro státní vysoké školy vojenské je hodnocenou jednotkou </w:t>
      </w:r>
      <w:r>
        <w:t xml:space="preserve">vysoká </w:t>
      </w:r>
      <w:r w:rsidRPr="003116C4">
        <w:t>škola jako celek.</w:t>
      </w:r>
    </w:p>
    <w:p w:rsidR="00BC3ACE" w:rsidRPr="00375A49" w:rsidRDefault="00BC3ACE" w:rsidP="00BC3ACE">
      <w:pPr>
        <w:pStyle w:val="Nzev"/>
        <w:outlineLvl w:val="9"/>
      </w:pPr>
      <w:r w:rsidRPr="00375A49">
        <w:t xml:space="preserve">Z důvodu rozdílné míry společenského významu jednotlivých kritérií vykazuje </w:t>
      </w:r>
      <w:r>
        <w:t xml:space="preserve">modul </w:t>
      </w:r>
      <w:r w:rsidRPr="00375A49">
        <w:t>M3 ve  s</w:t>
      </w:r>
      <w:r w:rsidR="0094014A">
        <w:t>rovnání s moduly M4 a M5 některá specifika</w:t>
      </w:r>
      <w:r w:rsidRPr="00375A49">
        <w:t xml:space="preserve">. Tyto zvláštnosti jsou upraveny nadefinovanou indikativní relevancí pro </w:t>
      </w:r>
      <w:r w:rsidR="0085323A">
        <w:t>jednotlivá kritéria</w:t>
      </w:r>
      <w:r w:rsidRPr="00375A49">
        <w:t xml:space="preserve"> prostřednictvím počtu hvězdiček.</w:t>
      </w:r>
    </w:p>
    <w:p w:rsidR="00BC3ACE" w:rsidRPr="00375A49" w:rsidRDefault="0085323A" w:rsidP="00BC3ACE">
      <w:pPr>
        <w:pStyle w:val="Nzev"/>
        <w:outlineLvl w:val="9"/>
      </w:pPr>
      <w:r>
        <w:t>Indikativní r</w:t>
      </w:r>
      <w:r w:rsidR="00BC3ACE" w:rsidRPr="00375A49">
        <w:t>elevance každého kritéria (počet hvězdiček) je v</w:t>
      </w:r>
      <w:r w:rsidR="00BC3ACE">
        <w:t xml:space="preserve"> modulu </w:t>
      </w:r>
      <w:r w:rsidR="00BC3ACE" w:rsidRPr="00375A49">
        <w:t xml:space="preserve">M3 definována následovně: 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363697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BC3ACE" w:rsidRPr="00375A49" w:rsidRDefault="00BC3ACE" w:rsidP="00C078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 xml:space="preserve">RELEVANCE </w:t>
            </w:r>
            <w:r w:rsidRPr="003116C4">
              <w:rPr>
                <w:rFonts w:cstheme="minorHAnsi"/>
                <w:b/>
                <w:sz w:val="20"/>
                <w:szCs w:val="20"/>
              </w:rPr>
              <w:t>KRITÉRIÍ PRO STÁTNÍ VYSOKÉ ŠKOLY VOJENSKÉ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A15F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5A08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Vysoce</w:t>
            </w:r>
            <w:r w:rsidR="00FA15F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relevantní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5A08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Významně relevantní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5A08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Relevantní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5A08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Částečně relevantní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5A08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Málo relevantní</w:t>
            </w:r>
          </w:p>
        </w:tc>
      </w:tr>
    </w:tbl>
    <w:p w:rsidR="00BC3ACE" w:rsidRPr="00375A49" w:rsidRDefault="00BC3ACE" w:rsidP="00BC3ACE">
      <w:pPr>
        <w:jc w:val="both"/>
        <w:rPr>
          <w:b/>
          <w:lang w:val="cs-CZ"/>
        </w:rPr>
      </w:pPr>
    </w:p>
    <w:p w:rsidR="00BC3ACE" w:rsidRPr="00F65572" w:rsidRDefault="00BC3ACE" w:rsidP="00BC3ACE">
      <w:pPr>
        <w:rPr>
          <w:lang w:val="cs-CZ"/>
        </w:rPr>
      </w:pPr>
      <w:r w:rsidRPr="00375A49">
        <w:rPr>
          <w:lang w:val="cs-CZ"/>
        </w:rPr>
        <w:t xml:space="preserve">Pro každé kritérium je indikativní relevance ve vztahu k míře společenského </w:t>
      </w:r>
      <w:r w:rsidR="0085323A">
        <w:rPr>
          <w:lang w:val="cs-CZ"/>
        </w:rPr>
        <w:t>významu</w:t>
      </w:r>
      <w:r w:rsidR="00F65572">
        <w:rPr>
          <w:lang w:val="cs-CZ"/>
        </w:rPr>
        <w:t xml:space="preserve"> stanovena takto:</w:t>
      </w:r>
    </w:p>
    <w:tbl>
      <w:tblPr>
        <w:tblStyle w:val="Mkatabulky"/>
        <w:tblW w:w="9222" w:type="dxa"/>
        <w:tblInd w:w="-23" w:type="dxa"/>
        <w:tblLayout w:type="fixed"/>
        <w:tblLook w:val="04A0"/>
      </w:tblPr>
      <w:tblGrid>
        <w:gridCol w:w="667"/>
        <w:gridCol w:w="6996"/>
        <w:gridCol w:w="1559"/>
      </w:tblGrid>
      <w:tr w:rsidR="00BC3ACE" w:rsidRPr="00375A49" w:rsidTr="00363697">
        <w:trPr>
          <w:cantSplit/>
          <w:trHeight w:val="510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>KRITÉRIA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VOJENSKÉ</w:t>
            </w:r>
            <w:r w:rsidRPr="00375A49">
              <w:rPr>
                <w:rFonts w:cstheme="minorHAnsi"/>
                <w:b/>
                <w:sz w:val="20"/>
                <w:szCs w:val="20"/>
              </w:rPr>
              <w:t xml:space="preserve"> VYSOKÉ ŠKOLY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3.2</w:t>
            </w:r>
          </w:p>
        </w:tc>
        <w:tc>
          <w:tcPr>
            <w:tcW w:w="6996" w:type="dxa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534EA1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Projekty aplikovaného výzkumu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3*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3.3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534E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Smluvní výzkum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F40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3.4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534EA1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Výnosy z neveřejných zdrojů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F40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3.5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534EA1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Výsledky aplikovaného výzkumu s ekonomickým dopadem na společnost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Pr="00375A49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3.6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534EA1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Výsledky aplikovaného výzkumu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75A49">
              <w:rPr>
                <w:rFonts w:cstheme="minorHAnsi"/>
                <w:sz w:val="18"/>
                <w:szCs w:val="18"/>
              </w:rPr>
              <w:t xml:space="preserve">s jiným než ekonomickým dopadem na společnost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3.7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Interakce </w:t>
            </w:r>
            <w:r w:rsidRPr="002461DA">
              <w:rPr>
                <w:rFonts w:cstheme="minorHAnsi"/>
                <w:sz w:val="18"/>
                <w:szCs w:val="18"/>
              </w:rPr>
              <w:t>hodnocené jednotky</w:t>
            </w:r>
            <w:r w:rsidRPr="00375A49">
              <w:rPr>
                <w:rFonts w:cstheme="minorHAnsi"/>
                <w:sz w:val="18"/>
                <w:szCs w:val="18"/>
              </w:rPr>
              <w:t xml:space="preserve"> s mimouniverzitní aplikační/firemní sférou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75A49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3.8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Systém a podpora transferu technologií a ochrany duševního vlastnictví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75A49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3.9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4F357A">
              <w:rPr>
                <w:rFonts w:cstheme="minorHAnsi"/>
                <w:sz w:val="18"/>
                <w:szCs w:val="18"/>
              </w:rPr>
              <w:t>Strategie zakládání a podpora spin-off firem nebo jin</w:t>
            </w:r>
            <w:r>
              <w:rPr>
                <w:rFonts w:cstheme="minorHAnsi"/>
                <w:sz w:val="18"/>
                <w:szCs w:val="18"/>
              </w:rPr>
              <w:t>ých</w:t>
            </w:r>
            <w:r w:rsidRPr="004F357A">
              <w:rPr>
                <w:rFonts w:cstheme="minorHAnsi"/>
                <w:sz w:val="18"/>
                <w:szCs w:val="18"/>
              </w:rPr>
              <w:t xml:space="preserve"> for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4F357A">
              <w:rPr>
                <w:rFonts w:cstheme="minorHAnsi"/>
                <w:sz w:val="18"/>
                <w:szCs w:val="18"/>
              </w:rPr>
              <w:t xml:space="preserve">m komercionalizace výsledků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="00B64D29">
              <w:rPr>
                <w:rFonts w:cstheme="minorHAnsi"/>
                <w:sz w:val="18"/>
                <w:szCs w:val="18"/>
              </w:rPr>
              <w:t xml:space="preserve"> (lze vztáhnout k celé vysoké škole</w:t>
            </w:r>
            <w:r w:rsidRPr="004F357A">
              <w:rPr>
                <w:rFonts w:cstheme="minorHAnsi"/>
                <w:sz w:val="18"/>
                <w:szCs w:val="18"/>
              </w:rPr>
              <w:t xml:space="preserve"> se zdůrazněním specifik hodnocené jednotky)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F40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3.10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Významná individuální ocenění za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75A49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3.11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Uznání mezinárodní komunitou v oblasti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(volená členství v odborných společnostech atd.)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75A49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3.12</w:t>
            </w:r>
          </w:p>
        </w:tc>
        <w:tc>
          <w:tcPr>
            <w:tcW w:w="6996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Významné aktivity v oblasti popularizace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a komunikace s veřejností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</w:tr>
      <w:tr w:rsidR="00BC3ACE" w:rsidRPr="00375A49" w:rsidTr="00363697">
        <w:trPr>
          <w:trHeight w:val="340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18"/>
                <w:szCs w:val="18"/>
              </w:rPr>
            </w:pPr>
          </w:p>
          <w:p w:rsidR="00BC3ACE" w:rsidRPr="00375A49" w:rsidRDefault="00BC3ACE" w:rsidP="00363697">
            <w:pPr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>CELKOVÁ INDIKATIVNÍ RELEVANCE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</w:p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  <w:r w:rsidRPr="00375A49">
              <w:rPr>
                <w:rFonts w:cstheme="minorHAnsi"/>
                <w:sz w:val="18"/>
                <w:szCs w:val="18"/>
              </w:rPr>
              <w:t>*</w:t>
            </w:r>
          </w:p>
        </w:tc>
      </w:tr>
    </w:tbl>
    <w:p w:rsidR="00534EA1" w:rsidRDefault="00534EA1" w:rsidP="00BC3ACE">
      <w:pPr>
        <w:pStyle w:val="Nzev"/>
        <w:outlineLvl w:val="9"/>
      </w:pPr>
    </w:p>
    <w:p w:rsidR="00BC3ACE" w:rsidRPr="00375A49" w:rsidRDefault="00BC3ACE" w:rsidP="00BC3ACE">
      <w:pPr>
        <w:pStyle w:val="Nzev"/>
        <w:outlineLvl w:val="9"/>
      </w:pPr>
      <w:r w:rsidRPr="00436227">
        <w:t xml:space="preserve">Kritérium 3.1 nemá indikativní relevanci a představuje úvod, v němž státní vysoká škola vojenská zhodnotí společenský přínos </w:t>
      </w:r>
      <w:r w:rsidR="007B2259">
        <w:t>VaVaI</w:t>
      </w:r>
      <w:r w:rsidRPr="00436227">
        <w:t xml:space="preserve"> v oborech rozvíjených na hodnocené státní vysoké škole vojenské jako celku.</w:t>
      </w:r>
    </w:p>
    <w:p w:rsidR="00BC3ACE" w:rsidRDefault="00BC3ACE" w:rsidP="00BC3ACE">
      <w:pPr>
        <w:pStyle w:val="Nzev"/>
        <w:outlineLvl w:val="9"/>
      </w:pPr>
      <w:r w:rsidRPr="00375A49">
        <w:lastRenderedPageBreak/>
        <w:t xml:space="preserve">Celkový počet </w:t>
      </w:r>
      <w:r w:rsidR="00724D83">
        <w:t xml:space="preserve">31 </w:t>
      </w:r>
      <w:r w:rsidRPr="00375A49">
        <w:t xml:space="preserve">hvězdiček tak představuje indikativní relevanci </w:t>
      </w:r>
      <w:r>
        <w:t xml:space="preserve">modulu </w:t>
      </w:r>
      <w:r w:rsidRPr="00375A49">
        <w:t xml:space="preserve">M3 (kalibraci) pro </w:t>
      </w:r>
      <w:r>
        <w:t xml:space="preserve">státní </w:t>
      </w:r>
      <w:r w:rsidRPr="00375A49">
        <w:t>vysok</w:t>
      </w:r>
      <w:r>
        <w:t>é</w:t>
      </w:r>
      <w:r w:rsidRPr="00375A49">
        <w:t xml:space="preserve"> škol</w:t>
      </w:r>
      <w:r>
        <w:t>y</w:t>
      </w:r>
      <w:r w:rsidRPr="00375A49">
        <w:t xml:space="preserve"> </w:t>
      </w:r>
      <w:r>
        <w:t>vojenské.</w:t>
      </w:r>
    </w:p>
    <w:p w:rsidR="00C07892" w:rsidRDefault="00C07892" w:rsidP="00C07892">
      <w:pPr>
        <w:rPr>
          <w:lang w:val="cs-CZ" w:eastAsia="cs-CZ"/>
        </w:rPr>
      </w:pPr>
      <w:r w:rsidRPr="00C07892">
        <w:rPr>
          <w:lang w:val="cs-CZ" w:eastAsia="cs-CZ"/>
        </w:rPr>
        <w:t>Každé kritérium (kromě nerelevantních) je ohodnoceno body v rozmezí 0 – 5 určující jednotlivé stupně hodnocení (viz tab. 1).</w:t>
      </w:r>
    </w:p>
    <w:p w:rsidR="00C07892" w:rsidRPr="00C07892" w:rsidRDefault="00C07892" w:rsidP="00C07892">
      <w:pPr>
        <w:rPr>
          <w:lang w:val="cs-CZ" w:eastAsia="cs-CZ"/>
        </w:rPr>
      </w:pPr>
    </w:p>
    <w:p w:rsidR="00BC3ACE" w:rsidRPr="00375A49" w:rsidRDefault="00BC3ACE" w:rsidP="00BC3ACE">
      <w:pPr>
        <w:pStyle w:val="Nzev"/>
        <w:outlineLvl w:val="9"/>
      </w:pPr>
      <w:r w:rsidRPr="00375A49">
        <w:t>Tabulka 1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363697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STUPNĚ HODNOCENÍ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5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0D028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bod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bodů</w:t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913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BC3ACE" w:rsidRPr="00375A49" w:rsidRDefault="00BC3ACE" w:rsidP="00BC3ACE">
      <w:pPr>
        <w:pStyle w:val="Odstavecseseznamem"/>
        <w:ind w:left="1080"/>
        <w:jc w:val="both"/>
        <w:rPr>
          <w:b/>
          <w:lang w:val="cs-CZ"/>
        </w:rPr>
      </w:pPr>
    </w:p>
    <w:p w:rsidR="00BC3ACE" w:rsidRPr="00375A49" w:rsidRDefault="00C07892" w:rsidP="00BC3ACE">
      <w:pPr>
        <w:pStyle w:val="Nzev"/>
        <w:outlineLvl w:val="9"/>
      </w:pPr>
      <w:r w:rsidRPr="00C07892">
        <w:t xml:space="preserve">Bodový zisk hodnocené jednotky v modulu M3 je stanoven jako suma součinů indikativní relevance každého kritéria (počet hvězdiček) a bodového ohodnocení jednotlivých kritérií. Maximální bodové ohodnocení je 155 bodů. </w:t>
      </w:r>
      <w:r w:rsidR="00BC3ACE" w:rsidRPr="00375A49">
        <w:t>Bodové hodnocení každého kritéria se následně doplní o slovní hodnocení vč. nepovinného doporučení</w:t>
      </w:r>
      <w:r w:rsidR="00BC3ACE" w:rsidRPr="00AE4274">
        <w:t xml:space="preserve">. Celkové </w:t>
      </w:r>
      <w:r w:rsidR="00BC3ACE" w:rsidRPr="00375A49">
        <w:t>hodnocení v</w:t>
      </w:r>
      <w:r w:rsidR="00BC3ACE">
        <w:t xml:space="preserve"> modulu </w:t>
      </w:r>
      <w:r w:rsidR="00BC3ACE" w:rsidRPr="00375A49">
        <w:t xml:space="preserve">M3 se </w:t>
      </w:r>
      <w:r w:rsidR="0085323A">
        <w:t>stanoví</w:t>
      </w:r>
      <w:r w:rsidR="00BC3ACE" w:rsidRPr="00375A49">
        <w:t xml:space="preserve"> pomocí st</w:t>
      </w:r>
      <w:r w:rsidR="00534EA1">
        <w:t>upnice hodnocení (viz tab. 2).</w:t>
      </w:r>
    </w:p>
    <w:p w:rsidR="00BC3ACE" w:rsidRPr="00375A49" w:rsidRDefault="00BC3ACE" w:rsidP="00BC3ACE">
      <w:pPr>
        <w:pStyle w:val="Nzev"/>
        <w:outlineLvl w:val="9"/>
      </w:pPr>
      <w:r w:rsidRPr="00375A49">
        <w:t>Tabulka 2</w:t>
      </w:r>
    </w:p>
    <w:p w:rsidR="00BC3ACE" w:rsidRPr="00375A49" w:rsidRDefault="00BC3ACE" w:rsidP="00BC3A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b/>
          <w:sz w:val="18"/>
          <w:szCs w:val="18"/>
          <w:lang w:val="en-AU"/>
        </w:rPr>
      </w:pPr>
      <w:r w:rsidRPr="00375A49">
        <w:rPr>
          <w:rFonts w:cstheme="minorHAnsi"/>
          <w:b/>
          <w:sz w:val="20"/>
          <w:szCs w:val="20"/>
        </w:rPr>
        <w:t xml:space="preserve">                                                                                    STUPNICE HODNOCENÍ</w:t>
      </w:r>
    </w:p>
    <w:p w:rsidR="00BC3ACE" w:rsidRPr="00375A49" w:rsidRDefault="00BC3ACE" w:rsidP="00BC3A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 w:rsidRPr="00375A49">
        <w:rPr>
          <w:rFonts w:cstheme="minorHAnsi"/>
          <w:sz w:val="18"/>
          <w:szCs w:val="18"/>
          <w:lang w:val="en-AU"/>
        </w:rPr>
        <w:t>&gt;</w:t>
      </w:r>
      <w:r w:rsidR="00C07892">
        <w:rPr>
          <w:rFonts w:cstheme="minorHAnsi"/>
          <w:sz w:val="18"/>
          <w:szCs w:val="18"/>
          <w:lang w:val="en-AU"/>
        </w:rPr>
        <w:t>139</w:t>
      </w:r>
      <w:r w:rsidRPr="00375A49">
        <w:rPr>
          <w:rFonts w:cstheme="minorHAnsi"/>
          <w:sz w:val="18"/>
          <w:szCs w:val="18"/>
          <w:lang w:val="en-AU"/>
        </w:rPr>
        <w:t xml:space="preserve"> bodů</w:t>
      </w:r>
      <w:r w:rsidRPr="00375A49"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 w:rsidR="000D0282">
        <w:rPr>
          <w:rFonts w:cstheme="minorHAnsi"/>
          <w:sz w:val="18"/>
          <w:szCs w:val="18"/>
          <w:lang w:val="en-AU"/>
        </w:rPr>
        <w:t>Vynikající</w:t>
      </w:r>
    </w:p>
    <w:p w:rsidR="00BC3ACE" w:rsidRPr="00375A49" w:rsidRDefault="00C07892" w:rsidP="00BC3A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109</w:t>
      </w:r>
      <w:r w:rsidR="00BC3ACE" w:rsidRPr="00375A49">
        <w:rPr>
          <w:rFonts w:cstheme="minorHAnsi"/>
          <w:sz w:val="18"/>
          <w:szCs w:val="18"/>
          <w:lang w:val="en-AU"/>
        </w:rPr>
        <w:t>–</w:t>
      </w:r>
      <w:r>
        <w:rPr>
          <w:rFonts w:cstheme="minorHAnsi"/>
          <w:sz w:val="18"/>
          <w:szCs w:val="18"/>
          <w:lang w:val="en-AU"/>
        </w:rPr>
        <w:t>139</w:t>
      </w:r>
      <w:r w:rsidR="00BC3ACE" w:rsidRPr="00375A49">
        <w:rPr>
          <w:rFonts w:cstheme="minorHAnsi"/>
          <w:sz w:val="18"/>
          <w:szCs w:val="18"/>
          <w:lang w:val="en-AU"/>
        </w:rPr>
        <w:t xml:space="preserve"> bodů</w:t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F11767">
        <w:rPr>
          <w:rFonts w:cstheme="minorHAnsi"/>
          <w:sz w:val="18"/>
          <w:szCs w:val="18"/>
          <w:lang w:val="en-US"/>
        </w:rPr>
        <w:t>Velmi dobrý</w:t>
      </w:r>
    </w:p>
    <w:p w:rsidR="00BC3ACE" w:rsidRPr="00375A49" w:rsidRDefault="00C07892" w:rsidP="00BC3A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78–108</w:t>
      </w:r>
      <w:r w:rsidR="00BC3ACE" w:rsidRPr="00375A49">
        <w:rPr>
          <w:rFonts w:cstheme="minorHAnsi"/>
          <w:sz w:val="18"/>
          <w:szCs w:val="18"/>
          <w:lang w:val="en-AU"/>
        </w:rPr>
        <w:t xml:space="preserve"> bodů </w:t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CC3C1C">
        <w:rPr>
          <w:rFonts w:cstheme="minorHAnsi"/>
          <w:sz w:val="18"/>
          <w:szCs w:val="18"/>
          <w:lang w:val="en-US"/>
        </w:rPr>
        <w:t>Dobrý</w:t>
      </w:r>
    </w:p>
    <w:p w:rsidR="00BC3ACE" w:rsidRPr="00375A49" w:rsidRDefault="00C07892" w:rsidP="00BC3A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47–77</w:t>
      </w:r>
      <w:r w:rsidR="00BC3ACE" w:rsidRPr="00375A49">
        <w:rPr>
          <w:rFonts w:cstheme="minorHAnsi"/>
          <w:sz w:val="18"/>
          <w:szCs w:val="18"/>
          <w:lang w:val="en-AU"/>
        </w:rPr>
        <w:t xml:space="preserve"> bodů</w:t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CC3C1C">
        <w:rPr>
          <w:rFonts w:cstheme="minorHAnsi"/>
          <w:sz w:val="18"/>
          <w:szCs w:val="18"/>
          <w:lang w:val="en-US"/>
        </w:rPr>
        <w:t>Průměrný</w:t>
      </w:r>
    </w:p>
    <w:p w:rsidR="00BC3ACE" w:rsidRPr="00375A49" w:rsidRDefault="00C07892" w:rsidP="00BC3A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16–46</w:t>
      </w:r>
      <w:r w:rsidR="00BC3ACE" w:rsidRPr="00375A49">
        <w:rPr>
          <w:rFonts w:cstheme="minorHAnsi"/>
          <w:sz w:val="18"/>
          <w:szCs w:val="18"/>
          <w:lang w:val="en-AU"/>
        </w:rPr>
        <w:t xml:space="preserve"> bodů</w:t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CC3C1C">
        <w:rPr>
          <w:rFonts w:cstheme="minorHAnsi"/>
          <w:sz w:val="18"/>
          <w:szCs w:val="18"/>
          <w:lang w:val="en-US"/>
        </w:rPr>
        <w:t>Podprůměrný</w:t>
      </w:r>
    </w:p>
    <w:p w:rsidR="00BC3ACE" w:rsidRPr="00375A49" w:rsidRDefault="00BC3ACE" w:rsidP="00BC3A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u w:val="single"/>
          <w:lang w:val="en-AU"/>
        </w:rPr>
      </w:pPr>
      <w:r w:rsidRPr="00375A49">
        <w:rPr>
          <w:rFonts w:cstheme="minorHAnsi"/>
          <w:sz w:val="18"/>
          <w:szCs w:val="18"/>
          <w:lang w:val="en-AU"/>
        </w:rPr>
        <w:t>0–</w:t>
      </w:r>
      <w:r w:rsidR="00C07892">
        <w:rPr>
          <w:rFonts w:cstheme="minorHAnsi"/>
          <w:sz w:val="18"/>
          <w:szCs w:val="18"/>
          <w:lang w:val="en-AU"/>
        </w:rPr>
        <w:t>15</w:t>
      </w:r>
      <w:r w:rsidRPr="00375A49">
        <w:rPr>
          <w:rFonts w:cstheme="minorHAnsi"/>
          <w:sz w:val="18"/>
          <w:szCs w:val="18"/>
          <w:lang w:val="en-AU"/>
        </w:rPr>
        <w:t xml:space="preserve"> bodů</w:t>
      </w:r>
      <w:r w:rsidRPr="00375A49"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 w:rsidR="009134FB">
        <w:rPr>
          <w:rFonts w:cstheme="minorHAnsi"/>
          <w:sz w:val="18"/>
          <w:szCs w:val="18"/>
          <w:lang w:val="en-US"/>
        </w:rPr>
        <w:t>Nedostatečný</w:t>
      </w:r>
    </w:p>
    <w:p w:rsidR="00BC3ACE" w:rsidRPr="00375A49" w:rsidRDefault="00BC3ACE" w:rsidP="00BC3ACE">
      <w:pPr>
        <w:rPr>
          <w:rFonts w:cstheme="minorHAnsi"/>
          <w:b/>
          <w:sz w:val="28"/>
          <w:szCs w:val="28"/>
          <w:lang w:val="cs-CZ"/>
        </w:rPr>
      </w:pPr>
    </w:p>
    <w:p w:rsidR="00C07892" w:rsidRDefault="00C07892" w:rsidP="00C07892">
      <w:pPr>
        <w:pStyle w:val="Nzev"/>
        <w:outlineLvl w:val="9"/>
        <w:rPr>
          <w:strike/>
          <w:highlight w:val="yellow"/>
        </w:rPr>
      </w:pPr>
      <w:r w:rsidRPr="00375A49">
        <w:t xml:space="preserve">Stupnice hodnocení reflektuje kalibraci prostřednictvím </w:t>
      </w:r>
      <w:r>
        <w:t xml:space="preserve">indikativní relevance jednotlivých kritérií a </w:t>
      </w:r>
      <w:r w:rsidRPr="00375A49">
        <w:t xml:space="preserve">bodového rozsahu </w:t>
      </w:r>
      <w:r>
        <w:t xml:space="preserve">stupně hodnocení </w:t>
      </w:r>
      <w:r w:rsidRPr="00375A49">
        <w:t xml:space="preserve">pro </w:t>
      </w:r>
      <w:r>
        <w:t xml:space="preserve">státní </w:t>
      </w:r>
      <w:r w:rsidRPr="00375A49">
        <w:t>vysoké školy</w:t>
      </w:r>
      <w:r>
        <w:t xml:space="preserve"> vojenské</w:t>
      </w:r>
      <w:r w:rsidRPr="00375A49">
        <w:t xml:space="preserve">. </w:t>
      </w:r>
    </w:p>
    <w:p w:rsidR="00BC3ACE" w:rsidRDefault="00BC3ACE" w:rsidP="00BC3ACE">
      <w:pPr>
        <w:rPr>
          <w:rFonts w:eastAsia="Calibri" w:cstheme="minorHAnsi"/>
          <w:strike/>
          <w:highlight w:val="yellow"/>
          <w:lang w:val="cs-CZ" w:eastAsia="cs-CZ"/>
        </w:rPr>
      </w:pPr>
      <w:r>
        <w:rPr>
          <w:strike/>
          <w:highlight w:val="yellow"/>
        </w:rPr>
        <w:br w:type="page"/>
      </w:r>
    </w:p>
    <w:p w:rsidR="00BC3ACE" w:rsidRPr="00375A49" w:rsidRDefault="00BC3ACE" w:rsidP="00EC0B12">
      <w:pPr>
        <w:pStyle w:val="Nadpis3"/>
      </w:pPr>
      <w:bookmarkStart w:id="180" w:name="_Toc6493963"/>
      <w:bookmarkStart w:id="181" w:name="_Toc7772772"/>
      <w:bookmarkStart w:id="182" w:name="_Toc11664142"/>
      <w:r w:rsidRPr="00375A49">
        <w:lastRenderedPageBreak/>
        <w:t>BODOVÉ HODNOCENÍ MODULU M4</w:t>
      </w:r>
      <w:bookmarkEnd w:id="180"/>
      <w:bookmarkEnd w:id="181"/>
      <w:bookmarkEnd w:id="182"/>
    </w:p>
    <w:p w:rsidR="00BC3ACE" w:rsidRPr="00375A49" w:rsidRDefault="00BC3ACE" w:rsidP="00BC3ACE">
      <w:pPr>
        <w:pStyle w:val="W3MUZkonParagrafNzev"/>
        <w:tabs>
          <w:tab w:val="num" w:pos="0"/>
        </w:tabs>
        <w:spacing w:before="0" w:after="120"/>
        <w:rPr>
          <w:color w:val="auto"/>
          <w:sz w:val="18"/>
          <w:szCs w:val="18"/>
        </w:rPr>
      </w:pPr>
    </w:p>
    <w:p w:rsidR="00C07892" w:rsidRPr="00375A49" w:rsidRDefault="00C07892" w:rsidP="00C07892">
      <w:pPr>
        <w:pStyle w:val="Nzev"/>
        <w:outlineLvl w:val="9"/>
      </w:pPr>
      <w:r w:rsidRPr="00375A49">
        <w:t>Hodnocenou jednotkou v</w:t>
      </w:r>
      <w:r>
        <w:t xml:space="preserve"> modulu </w:t>
      </w:r>
      <w:r w:rsidRPr="00375A49">
        <w:t xml:space="preserve">M4 je </w:t>
      </w:r>
      <w:r>
        <w:t xml:space="preserve">státní </w:t>
      </w:r>
      <w:r w:rsidRPr="00375A49">
        <w:t>vysoká škola</w:t>
      </w:r>
      <w:r>
        <w:t xml:space="preserve"> vojenská</w:t>
      </w:r>
      <w:r w:rsidRPr="00375A49">
        <w:t xml:space="preserve"> jako celek. Hodnocen je stav dané vysoké školy </w:t>
      </w:r>
      <w:r>
        <w:t>dle údajů za hodnocené</w:t>
      </w:r>
      <w:r w:rsidRPr="009D3BBE">
        <w:t xml:space="preserve"> období 2014-2018</w:t>
      </w:r>
      <w:r w:rsidRPr="00375A49">
        <w:t>.</w:t>
      </w:r>
    </w:p>
    <w:p w:rsidR="00C07892" w:rsidRPr="00375A49" w:rsidRDefault="00C07892" w:rsidP="00C07892">
      <w:pPr>
        <w:pStyle w:val="Nzev"/>
        <w:outlineLvl w:val="9"/>
      </w:pPr>
      <w:r w:rsidRPr="00375A49">
        <w:t>V</w:t>
      </w:r>
      <w:r>
        <w:t xml:space="preserve"> modulu </w:t>
      </w:r>
      <w:r w:rsidRPr="00375A49">
        <w:t>M4 není pro míru společenského významu jednotlivých kritérií zohledněna kalibrace.</w:t>
      </w:r>
    </w:p>
    <w:p w:rsidR="00C07892" w:rsidRPr="00AB2108" w:rsidRDefault="00C07892" w:rsidP="00C07892">
      <w:pPr>
        <w:spacing w:after="120"/>
        <w:jc w:val="both"/>
      </w:pPr>
      <w:r w:rsidRPr="00375A49">
        <w:t xml:space="preserve">Kvantitativní hodnocení </w:t>
      </w:r>
      <w:r>
        <w:t xml:space="preserve">modulu </w:t>
      </w:r>
      <w:r w:rsidRPr="00375A49">
        <w:t xml:space="preserve">M4 vychází z bodového </w:t>
      </w:r>
      <w:r w:rsidRPr="00282A5F">
        <w:t xml:space="preserve">hodnocení 25 kritérií relevantních pro státní vysoké školy vojenské. </w:t>
      </w:r>
      <w:r>
        <w:t>Každé kritérium (kromě nerelevantních) je ohodnoceno body v rozmezí 0 – 5 určující jednotlivé stupně hodnocení</w:t>
      </w:r>
      <w:r w:rsidRPr="00282A5F" w:rsidDel="00DA49E5">
        <w:t xml:space="preserve"> </w:t>
      </w:r>
      <w:r w:rsidRPr="00282A5F">
        <w:t>(viz tab.  3). Maximáln</w:t>
      </w:r>
      <w:r>
        <w:t>í</w:t>
      </w:r>
      <w:r w:rsidRPr="00282A5F">
        <w:t xml:space="preserve"> </w:t>
      </w:r>
      <w:r>
        <w:t xml:space="preserve">bodové ohodnocení </w:t>
      </w:r>
      <w:r w:rsidRPr="00282A5F">
        <w:t>je 125 bodů.</w:t>
      </w:r>
      <w:r w:rsidRPr="00375A49">
        <w:t xml:space="preserve"> </w:t>
      </w:r>
    </w:p>
    <w:p w:rsidR="00BC3ACE" w:rsidRPr="00375A49" w:rsidRDefault="00BC3ACE" w:rsidP="00BC3ACE">
      <w:pPr>
        <w:pStyle w:val="Nzev"/>
        <w:outlineLvl w:val="9"/>
      </w:pPr>
      <w:r w:rsidRPr="00375A49">
        <w:t>Tabulka 3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363697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STUPNĚ HODNOCENÍ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5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0D028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bod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bodů</w:t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913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BC3ACE" w:rsidRPr="00375A49" w:rsidRDefault="00BC3ACE" w:rsidP="00BC3ACE">
      <w:pPr>
        <w:jc w:val="both"/>
        <w:rPr>
          <w:b/>
          <w:lang w:val="cs-CZ"/>
        </w:rPr>
      </w:pPr>
    </w:p>
    <w:p w:rsidR="00BC3ACE" w:rsidRPr="00375A49" w:rsidRDefault="00BC3ACE" w:rsidP="00BC3ACE">
      <w:pPr>
        <w:pStyle w:val="Nzev"/>
        <w:outlineLvl w:val="9"/>
      </w:pPr>
      <w:r w:rsidRPr="00375A49">
        <w:t xml:space="preserve">Jednotlivá hodnoticí kritéria v rámci </w:t>
      </w:r>
      <w:r>
        <w:t xml:space="preserve">modulu </w:t>
      </w:r>
      <w:r w:rsidRPr="00375A49">
        <w:t xml:space="preserve">M4 pro </w:t>
      </w:r>
      <w:r>
        <w:t>státní</w:t>
      </w:r>
      <w:r w:rsidRPr="00375A49">
        <w:t xml:space="preserve"> vysoké školy</w:t>
      </w:r>
      <w:r>
        <w:t xml:space="preserve"> vojenské</w:t>
      </w:r>
      <w:r w:rsidRPr="00375A49">
        <w:t xml:space="preserve"> znázorňuje tab. 4.</w:t>
      </w:r>
    </w:p>
    <w:p w:rsidR="00BC3ACE" w:rsidRPr="00375A49" w:rsidRDefault="00BC3ACE" w:rsidP="00BC3ACE">
      <w:pPr>
        <w:pStyle w:val="Nzev"/>
        <w:outlineLvl w:val="9"/>
      </w:pPr>
      <w:r w:rsidRPr="00375A49">
        <w:t>Tabulka 4</w:t>
      </w:r>
    </w:p>
    <w:tbl>
      <w:tblPr>
        <w:tblStyle w:val="Mkatabulky"/>
        <w:tblW w:w="9222" w:type="dxa"/>
        <w:tblInd w:w="-23" w:type="dxa"/>
        <w:tblLayout w:type="fixed"/>
        <w:tblLook w:val="04A0"/>
      </w:tblPr>
      <w:tblGrid>
        <w:gridCol w:w="667"/>
        <w:gridCol w:w="6996"/>
        <w:gridCol w:w="1559"/>
      </w:tblGrid>
      <w:tr w:rsidR="00BC3ACE" w:rsidRPr="00375A49" w:rsidTr="00363697">
        <w:trPr>
          <w:cantSplit/>
          <w:trHeight w:val="296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5A49">
              <w:rPr>
                <w:rFonts w:cstheme="minorHAnsi"/>
                <w:b/>
                <w:sz w:val="18"/>
                <w:szCs w:val="18"/>
              </w:rPr>
              <w:br w:type="page"/>
              <w:t>KRITÉRIA</w:t>
            </w:r>
          </w:p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VOJENSKÉ</w:t>
            </w:r>
            <w:r w:rsidRPr="00375A49">
              <w:rPr>
                <w:rFonts w:cstheme="minorHAnsi"/>
                <w:b/>
                <w:sz w:val="20"/>
                <w:szCs w:val="20"/>
              </w:rPr>
              <w:t xml:space="preserve"> VYSOKÉ ŠKOLY</w:t>
            </w: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</w:t>
            </w:r>
          </w:p>
        </w:tc>
        <w:tc>
          <w:tcPr>
            <w:tcW w:w="69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534EA1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Organizace a řízení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</w:t>
            </w:r>
          </w:p>
        </w:tc>
        <w:tc>
          <w:tcPr>
            <w:tcW w:w="69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Systém podpory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a stimulační opatření pro </w:t>
            </w:r>
            <w:r>
              <w:rPr>
                <w:rFonts w:cstheme="minorHAnsi"/>
                <w:sz w:val="18"/>
                <w:szCs w:val="18"/>
              </w:rPr>
              <w:t>kvalitní</w:t>
            </w:r>
            <w:r w:rsidRPr="00375A49">
              <w:rPr>
                <w:rFonts w:cstheme="minorHAnsi"/>
                <w:sz w:val="18"/>
                <w:szCs w:val="18"/>
              </w:rPr>
              <w:t xml:space="preserve"> vědu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4.3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Institucionální pravidla v</w:t>
            </w:r>
            <w:r>
              <w:rPr>
                <w:rFonts w:cstheme="minorHAnsi"/>
                <w:sz w:val="18"/>
                <w:szCs w:val="18"/>
              </w:rPr>
              <w:t xml:space="preserve">yužití institucionální podpory </w:t>
            </w:r>
            <w:r w:rsidRPr="00375A49">
              <w:rPr>
                <w:rFonts w:cstheme="minorHAnsi"/>
                <w:sz w:val="18"/>
                <w:szCs w:val="18"/>
              </w:rPr>
              <w:t>DKRVO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4.4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EE28A6">
              <w:rPr>
                <w:rFonts w:cstheme="minorHAnsi"/>
                <w:sz w:val="18"/>
                <w:szCs w:val="18"/>
              </w:rPr>
              <w:t>Strategie zakládání, financování a dlouhodobého rozvoje a udržitelnosti výzkumných center a velkých výzkumných infrastruktur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0D0282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4.5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Systém vzdělávání v oblasti ochrany duševního vlastnictví a transferu technologií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4.6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Organizace doktorského studia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4.7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Internacionalizace doktorského studia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4.8*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534EA1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Navazující kariéry absolventů doktorského studia (podmínky podpory)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4.9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Pravidla financování doktorských studentů, včetně zahraničních (stimulační a motivační nástroje)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4.10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Významné spolupráce ve VaVaI</w:t>
            </w:r>
            <w:r w:rsidRPr="00375A49">
              <w:rPr>
                <w:rFonts w:cstheme="minorHAnsi"/>
                <w:sz w:val="18"/>
                <w:szCs w:val="18"/>
              </w:rPr>
              <w:t xml:space="preserve"> na národní úrovni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4.11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Významné spolupráce ve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na mezinárodní úrovni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4.12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Mobilita akademických a výzkumných pracovníků (vč. sektorové a mezisektorové mobility) 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4.13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Internacionalizace vnitřního prostředí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0D02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4.14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Systém kariérního růstu akademických a výzkumných pracovníků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4.15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Systém hodnocení akademických a výzkumných pracovníků a obsazování klíčových pozic ve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4.16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Systém náboru výzkumných a akademických pracovníků z externího prostředí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4.17*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534EA1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Struktura lidských zdrojů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4.18*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534EA1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Opatření týkající se genderové </w:t>
            </w:r>
            <w:r>
              <w:rPr>
                <w:rFonts w:cstheme="minorHAnsi"/>
                <w:sz w:val="18"/>
                <w:szCs w:val="18"/>
              </w:rPr>
              <w:t>rovnosti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4.19*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534EA1">
            <w:pPr>
              <w:rPr>
                <w:rFonts w:cstheme="minorHAnsi"/>
                <w:sz w:val="18"/>
                <w:szCs w:val="18"/>
              </w:rPr>
            </w:pPr>
            <w:r w:rsidRPr="00586632">
              <w:rPr>
                <w:rFonts w:cstheme="minorHAnsi"/>
                <w:sz w:val="18"/>
                <w:szCs w:val="18"/>
              </w:rPr>
              <w:t xml:space="preserve">Struktura finančních zdrojů pro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4.20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Podpora získávání zahraničních výzkumných projektů (vč. strategie k získávání prestižních </w:t>
            </w:r>
            <w:r w:rsidRPr="00375A49">
              <w:rPr>
                <w:rFonts w:cstheme="minorHAnsi"/>
                <w:sz w:val="18"/>
                <w:szCs w:val="18"/>
              </w:rPr>
              <w:lastRenderedPageBreak/>
              <w:t xml:space="preserve">zahraničních finančních zdrojů pro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lastRenderedPageBreak/>
              <w:t>4.21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Interní a externí systém hodnocení výzkumných jednotek (skupin, týmů, kateder, ústavů)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4.22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Podmínky vzniku nových týmů a zavádění nových výzkumných témat (tzv. start-up strategy)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0D0282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4.23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rPr>
                <w:rFonts w:cstheme="minorHAnsi"/>
                <w:sz w:val="18"/>
                <w:szCs w:val="18"/>
              </w:rPr>
            </w:pPr>
            <w:r w:rsidRPr="00306319">
              <w:rPr>
                <w:rFonts w:cstheme="minorHAnsi"/>
                <w:sz w:val="18"/>
                <w:szCs w:val="18"/>
              </w:rPr>
              <w:t xml:space="preserve">Externí poradní orgány pro </w:t>
            </w:r>
            <w:r>
              <w:rPr>
                <w:rFonts w:cstheme="minorHAnsi"/>
                <w:sz w:val="18"/>
                <w:szCs w:val="18"/>
              </w:rPr>
              <w:t>VaVaI, nezávislá zpětná vazba pro VaVaI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4.24*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534EA1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Systém pořizování a obnovy přístrojů a vybavení pro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4.25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Systém sdílení přístrojů a vybavení pro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4.26</w:t>
            </w:r>
          </w:p>
        </w:tc>
        <w:tc>
          <w:tcPr>
            <w:tcW w:w="69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Vnitřní pravidla a opatření pro udržování dobré praxe ve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(např. Code of Conduct for Research Integrity, Ethical Issues)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4.27</w:t>
            </w:r>
          </w:p>
        </w:tc>
        <w:tc>
          <w:tcPr>
            <w:tcW w:w="6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Strategie otevřeného přístupu k informacím z 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(Open Access)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4.28</w:t>
            </w:r>
          </w:p>
        </w:tc>
        <w:tc>
          <w:tcPr>
            <w:tcW w:w="69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Strategie správy výzkumných dat (Data Management)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C3ACE" w:rsidRPr="00375A49" w:rsidRDefault="00BC3ACE" w:rsidP="00BC3ACE">
      <w:pPr>
        <w:pStyle w:val="Textpoznpodarou"/>
        <w:rPr>
          <w:lang w:val="cs-CZ"/>
        </w:rPr>
      </w:pPr>
    </w:p>
    <w:p w:rsidR="00BC3ACE" w:rsidRPr="00375A49" w:rsidRDefault="00BC3ACE" w:rsidP="00BC3ACE">
      <w:pPr>
        <w:pStyle w:val="Nzev"/>
        <w:outlineLvl w:val="9"/>
      </w:pPr>
      <w:r w:rsidRPr="00375A49">
        <w:t xml:space="preserve">Bodové hodnocení každého kritéria se následně doplní o slovní hodnocení vč. nepovinného doporučení. </w:t>
      </w:r>
    </w:p>
    <w:p w:rsidR="00BC3ACE" w:rsidRPr="00375A49" w:rsidRDefault="00BC3ACE" w:rsidP="00BC3ACE">
      <w:pPr>
        <w:pStyle w:val="Nzev"/>
        <w:outlineLvl w:val="9"/>
      </w:pPr>
      <w:r w:rsidRPr="00AE4274">
        <w:t xml:space="preserve">Celkové </w:t>
      </w:r>
      <w:r w:rsidRPr="00375A49">
        <w:t>hodnocení v</w:t>
      </w:r>
      <w:r>
        <w:t xml:space="preserve"> modulu </w:t>
      </w:r>
      <w:r w:rsidRPr="00375A49">
        <w:t xml:space="preserve">M4 se </w:t>
      </w:r>
      <w:r w:rsidR="0085323A">
        <w:t>stanoví</w:t>
      </w:r>
      <w:r w:rsidRPr="00375A49">
        <w:t xml:space="preserve"> pomocí stupnice hodnocení (viz tab.  5).</w:t>
      </w:r>
    </w:p>
    <w:p w:rsidR="00BC3ACE" w:rsidRPr="00375A49" w:rsidRDefault="00BC3ACE" w:rsidP="00BC3ACE">
      <w:pPr>
        <w:pStyle w:val="Nzev"/>
        <w:outlineLvl w:val="9"/>
      </w:pPr>
      <w:r w:rsidRPr="00375A49">
        <w:t>Tabulka 5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363697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STUPNICE HODNOCENÍ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&gt; </w:t>
            </w:r>
            <w:r w:rsidR="00C07892">
              <w:rPr>
                <w:rFonts w:asciiTheme="minorHAnsi" w:hAnsiTheme="minorHAnsi" w:cstheme="minorHAnsi"/>
                <w:sz w:val="18"/>
                <w:szCs w:val="18"/>
              </w:rPr>
              <w:t>112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0D028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BC3ACE" w:rsidRPr="00375A49" w:rsidRDefault="00C07892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88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112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C0789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C07892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C07892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62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C07892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0–</w:t>
            </w:r>
            <w:r w:rsidR="00C07892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913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BC3ACE" w:rsidRPr="00375A49" w:rsidRDefault="00BC3ACE" w:rsidP="00BC3ACE">
      <w:pPr>
        <w:rPr>
          <w:rFonts w:cstheme="minorHAnsi"/>
          <w:b/>
          <w:sz w:val="30"/>
          <w:szCs w:val="30"/>
          <w:lang w:val="cs-CZ"/>
        </w:rPr>
      </w:pPr>
    </w:p>
    <w:p w:rsidR="00BC3ACE" w:rsidRPr="00375A49" w:rsidRDefault="00BC3ACE" w:rsidP="00BC3ACE">
      <w:pPr>
        <w:rPr>
          <w:rFonts w:cstheme="minorHAnsi"/>
          <w:b/>
          <w:sz w:val="30"/>
          <w:szCs w:val="30"/>
          <w:lang w:val="cs-CZ"/>
        </w:rPr>
      </w:pPr>
      <w:r w:rsidRPr="00375A49">
        <w:rPr>
          <w:rFonts w:cstheme="minorHAnsi"/>
          <w:b/>
          <w:sz w:val="30"/>
          <w:szCs w:val="30"/>
          <w:lang w:val="cs-CZ"/>
        </w:rPr>
        <w:br w:type="page"/>
      </w:r>
    </w:p>
    <w:p w:rsidR="00BC3ACE" w:rsidRPr="00375A49" w:rsidRDefault="00BC3ACE" w:rsidP="00EC0B12">
      <w:pPr>
        <w:pStyle w:val="Nadpis3"/>
      </w:pPr>
      <w:bookmarkStart w:id="183" w:name="_Toc6493964"/>
      <w:bookmarkStart w:id="184" w:name="_Toc7772773"/>
      <w:bookmarkStart w:id="185" w:name="_Toc11664143"/>
      <w:r w:rsidRPr="00375A49">
        <w:lastRenderedPageBreak/>
        <w:t>BODOVÉ HODNOCENÍ MODULU M5</w:t>
      </w:r>
      <w:bookmarkEnd w:id="183"/>
      <w:bookmarkEnd w:id="184"/>
      <w:bookmarkEnd w:id="185"/>
    </w:p>
    <w:p w:rsidR="00BC3ACE" w:rsidRPr="00375A49" w:rsidRDefault="00BC3ACE" w:rsidP="00BC3ACE">
      <w:pPr>
        <w:pStyle w:val="W3MUZkonParagrafNzev"/>
        <w:tabs>
          <w:tab w:val="num" w:pos="0"/>
        </w:tabs>
        <w:spacing w:before="0" w:after="120"/>
        <w:rPr>
          <w:color w:val="auto"/>
          <w:sz w:val="18"/>
          <w:szCs w:val="18"/>
        </w:rPr>
      </w:pPr>
    </w:p>
    <w:p w:rsidR="00553F4F" w:rsidRPr="00375A49" w:rsidRDefault="00553F4F" w:rsidP="00553F4F">
      <w:pPr>
        <w:pStyle w:val="Nzev"/>
        <w:outlineLvl w:val="9"/>
      </w:pPr>
      <w:r w:rsidRPr="00375A49">
        <w:t>Hodnocenou jednotkou v</w:t>
      </w:r>
      <w:r>
        <w:t xml:space="preserve"> modulu </w:t>
      </w:r>
      <w:r w:rsidRPr="00375A49">
        <w:t xml:space="preserve">M5 je </w:t>
      </w:r>
      <w:r w:rsidRPr="0046483C">
        <w:t>státní vysoká škola vojenská jako celek. Hodnocení</w:t>
      </w:r>
      <w:r w:rsidRPr="00375A49">
        <w:t xml:space="preserve"> sleduje, zda má vysoká škola stanovenou strategii a koncepci a jaký je její přínos k naplňování odvětvových, případně národních strategických dokumentů (politik, akčních plánů, priorit apod.). Hodnoceno je jak předchozí období, tak především předpoklad </w:t>
      </w:r>
      <w:r w:rsidRPr="00D30CCD">
        <w:t>budoucího vývoje.</w:t>
      </w:r>
    </w:p>
    <w:p w:rsidR="00553F4F" w:rsidRPr="00375A49" w:rsidRDefault="00553F4F" w:rsidP="00553F4F">
      <w:pPr>
        <w:pStyle w:val="Nzev"/>
        <w:outlineLvl w:val="9"/>
      </w:pPr>
      <w:r w:rsidRPr="00375A49">
        <w:t>V</w:t>
      </w:r>
      <w:r>
        <w:t xml:space="preserve"> modulu </w:t>
      </w:r>
      <w:r w:rsidRPr="00375A49">
        <w:t>M5 není pro míru společenského významu jednotlivých kritérií zohledněna kalibrace.</w:t>
      </w:r>
    </w:p>
    <w:p w:rsidR="00553F4F" w:rsidRDefault="00553F4F" w:rsidP="00553F4F">
      <w:pPr>
        <w:pStyle w:val="Nzev"/>
        <w:outlineLvl w:val="9"/>
      </w:pPr>
      <w:r w:rsidRPr="00375A49">
        <w:t xml:space="preserve">Kvantitativní hodnocení </w:t>
      </w:r>
      <w:r>
        <w:t xml:space="preserve">modulu </w:t>
      </w:r>
      <w:r w:rsidRPr="00375A49">
        <w:t xml:space="preserve">M5 vychází z bodového hodnocení </w:t>
      </w:r>
      <w:r w:rsidRPr="0046483C">
        <w:t>4 kritérií.</w:t>
      </w:r>
      <w:r w:rsidRPr="00375A49">
        <w:t xml:space="preserve"> </w:t>
      </w:r>
      <w:r>
        <w:t>Každé kritérium (kromě nerelevantních) je ohodnoceno body v rozmezí 0 – 5 určující jednotlivé stupně hodnocení</w:t>
      </w:r>
      <w:r w:rsidRPr="00282A5F" w:rsidDel="00DA49E5">
        <w:t xml:space="preserve"> </w:t>
      </w:r>
      <w:r w:rsidR="0047510A">
        <w:t>(viz tab.  6</w:t>
      </w:r>
      <w:r w:rsidRPr="00282A5F">
        <w:t xml:space="preserve">). </w:t>
      </w:r>
    </w:p>
    <w:p w:rsidR="00553F4F" w:rsidRDefault="00553F4F" w:rsidP="00553F4F">
      <w:pPr>
        <w:pStyle w:val="Nzev"/>
        <w:outlineLvl w:val="9"/>
      </w:pPr>
      <w:r w:rsidRPr="00282A5F">
        <w:t>Maximáln</w:t>
      </w:r>
      <w:r>
        <w:t>í</w:t>
      </w:r>
      <w:r w:rsidRPr="00282A5F">
        <w:t xml:space="preserve"> </w:t>
      </w:r>
      <w:r>
        <w:t xml:space="preserve">bodové ohodnocení </w:t>
      </w:r>
      <w:r w:rsidRPr="00282A5F">
        <w:t xml:space="preserve">je </w:t>
      </w:r>
      <w:r>
        <w:t>20</w:t>
      </w:r>
      <w:r w:rsidRPr="00282A5F">
        <w:t xml:space="preserve"> bodů</w:t>
      </w:r>
      <w:r>
        <w:t>.</w:t>
      </w:r>
    </w:p>
    <w:p w:rsidR="00BC3ACE" w:rsidRPr="00375A49" w:rsidRDefault="00BC3ACE" w:rsidP="00BC3ACE">
      <w:pPr>
        <w:pStyle w:val="Nzev"/>
        <w:outlineLvl w:val="9"/>
        <w:rPr>
          <w:b/>
        </w:rPr>
      </w:pPr>
      <w:r w:rsidRPr="00375A49">
        <w:t>Tabulka 6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363697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STUPNĚ HODNOCENÍ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5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E12FD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bod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bodů</w:t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913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BC3ACE" w:rsidRPr="00375A49" w:rsidRDefault="00BC3ACE" w:rsidP="00BC3ACE">
      <w:pPr>
        <w:jc w:val="both"/>
        <w:rPr>
          <w:b/>
          <w:lang w:val="cs-CZ"/>
        </w:rPr>
      </w:pPr>
    </w:p>
    <w:p w:rsidR="00BC3ACE" w:rsidRPr="00375A49" w:rsidRDefault="00BC3ACE" w:rsidP="00BC3ACE">
      <w:pPr>
        <w:pStyle w:val="Nzev"/>
        <w:outlineLvl w:val="9"/>
      </w:pPr>
      <w:r w:rsidRPr="00375A49">
        <w:t xml:space="preserve">Jednotlivá hodnoticí kritéria v rámci </w:t>
      </w:r>
      <w:r>
        <w:t xml:space="preserve">modulu </w:t>
      </w:r>
      <w:r w:rsidRPr="00375A49">
        <w:t xml:space="preserve">M5 pro </w:t>
      </w:r>
      <w:r>
        <w:t xml:space="preserve">státní </w:t>
      </w:r>
      <w:r w:rsidRPr="00375A49">
        <w:t>vysoké školy</w:t>
      </w:r>
      <w:r>
        <w:t xml:space="preserve"> vojenské</w:t>
      </w:r>
      <w:r w:rsidRPr="00375A49">
        <w:t xml:space="preserve"> znázorňuje tab. 7.</w:t>
      </w:r>
    </w:p>
    <w:p w:rsidR="00BC3ACE" w:rsidRPr="00375A49" w:rsidRDefault="00BC3ACE" w:rsidP="00BC3ACE">
      <w:pPr>
        <w:pStyle w:val="Nzev"/>
        <w:outlineLvl w:val="9"/>
      </w:pPr>
      <w:r w:rsidRPr="00375A49">
        <w:t>Tabulka 7</w:t>
      </w:r>
    </w:p>
    <w:tbl>
      <w:tblPr>
        <w:tblStyle w:val="Mkatabulky"/>
        <w:tblW w:w="9222" w:type="dxa"/>
        <w:tblInd w:w="-23" w:type="dxa"/>
        <w:tblLayout w:type="fixed"/>
        <w:tblLook w:val="04A0"/>
      </w:tblPr>
      <w:tblGrid>
        <w:gridCol w:w="667"/>
        <w:gridCol w:w="6996"/>
        <w:gridCol w:w="1559"/>
      </w:tblGrid>
      <w:tr w:rsidR="00BC3ACE" w:rsidRPr="00375A49" w:rsidTr="00363697">
        <w:trPr>
          <w:cantSplit/>
          <w:trHeight w:val="296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5A49">
              <w:rPr>
                <w:rFonts w:cstheme="minorHAnsi"/>
                <w:b/>
                <w:sz w:val="18"/>
                <w:szCs w:val="18"/>
              </w:rPr>
              <w:br w:type="page"/>
              <w:t>KRITÉRIA</w:t>
            </w:r>
          </w:p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VOJENSKÉ</w:t>
            </w:r>
            <w:r w:rsidRPr="00375A49">
              <w:rPr>
                <w:rFonts w:cstheme="minorHAnsi"/>
                <w:b/>
                <w:sz w:val="20"/>
                <w:szCs w:val="20"/>
              </w:rPr>
              <w:t xml:space="preserve"> VYSOKÉ ŠKOLY</w:t>
            </w:r>
          </w:p>
        </w:tc>
      </w:tr>
      <w:tr w:rsidR="00BC3ACE" w:rsidRPr="00375A49" w:rsidTr="00363697">
        <w:trPr>
          <w:trHeight w:val="340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5.1</w:t>
            </w:r>
          </w:p>
        </w:tc>
        <w:tc>
          <w:tcPr>
            <w:tcW w:w="69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Mise a vize hodnocené instituce ve </w:t>
            </w:r>
            <w:r w:rsidR="007B2259"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C3AC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5.2</w:t>
            </w:r>
          </w:p>
        </w:tc>
        <w:tc>
          <w:tcPr>
            <w:tcW w:w="69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Výzkumné cíle a strategie pro období do dalšího hodnocení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C3ACE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5.3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Vazba na plnění vyšších národních a nadnárodních strategických cílů a opatření v oblasti </w:t>
            </w:r>
            <w:r w:rsidR="007B2259"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C3AC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5.4</w:t>
            </w:r>
          </w:p>
        </w:tc>
        <w:tc>
          <w:tcPr>
            <w:tcW w:w="69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914D56" w:rsidP="00363697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914D56">
              <w:rPr>
                <w:rFonts w:cstheme="minorHAnsi"/>
                <w:sz w:val="18"/>
                <w:szCs w:val="18"/>
              </w:rPr>
              <w:t>Strategie a nástroje strategického řízení pro zvyšování mezinárodní nebo oborové konkurenceschopnosti výzkumné činnosti vysoké školy a její kvality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E12FD6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BC3ACE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5.5</w:t>
            </w:r>
          </w:p>
        </w:tc>
        <w:tc>
          <w:tcPr>
            <w:tcW w:w="69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Institucionální nástroje pro naplňování výzkumné strategie s důrazem na podporu kvalitního </w:t>
            </w:r>
            <w:r w:rsidR="007B2259"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a inovativního prostředí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C3ACE" w:rsidRPr="00375A49" w:rsidRDefault="00BC3ACE" w:rsidP="00BC3ACE">
      <w:pPr>
        <w:rPr>
          <w:lang w:val="cs-CZ" w:eastAsia="cs-CZ"/>
        </w:rPr>
      </w:pPr>
    </w:p>
    <w:p w:rsidR="00BC3ACE" w:rsidRPr="00375A49" w:rsidRDefault="00BC3ACE" w:rsidP="00BC3ACE">
      <w:pPr>
        <w:pStyle w:val="Nzev"/>
        <w:outlineLvl w:val="9"/>
      </w:pPr>
      <w:r w:rsidRPr="00375A49">
        <w:t xml:space="preserve">Bodové hodnocení každého kritéria se následně doplní o slovní hodnocení vč. nepovinného doporučení. </w:t>
      </w:r>
    </w:p>
    <w:p w:rsidR="00BC3ACE" w:rsidRPr="00375A49" w:rsidRDefault="00BC3ACE" w:rsidP="00BC3ACE">
      <w:pPr>
        <w:pStyle w:val="Nzev"/>
        <w:outlineLvl w:val="9"/>
      </w:pPr>
      <w:r w:rsidRPr="00AE4274">
        <w:t xml:space="preserve">Celkové </w:t>
      </w:r>
      <w:r w:rsidRPr="00375A49">
        <w:t>hodnocení v</w:t>
      </w:r>
      <w:r>
        <w:t xml:space="preserve"> modulu </w:t>
      </w:r>
      <w:r w:rsidRPr="00375A49">
        <w:t xml:space="preserve">M5 se </w:t>
      </w:r>
      <w:r w:rsidR="0085323A">
        <w:t>stanoví</w:t>
      </w:r>
      <w:r w:rsidRPr="00375A49">
        <w:t xml:space="preserve"> pomocí stupnice hodnocení (viz tab. 8).</w:t>
      </w:r>
    </w:p>
    <w:p w:rsidR="00BC3ACE" w:rsidRPr="00375A49" w:rsidRDefault="00BC3ACE" w:rsidP="00BC3ACE">
      <w:pPr>
        <w:pStyle w:val="Nzev"/>
        <w:outlineLvl w:val="9"/>
      </w:pPr>
      <w:r w:rsidRPr="00375A49">
        <w:t>Tabulka 8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363697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STUPNICE HODNOCENÍ</w:t>
            </w:r>
          </w:p>
          <w:p w:rsidR="00BC3ACE" w:rsidRPr="00375A49" w:rsidRDefault="00553F4F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 18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E12FD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BC3ACE" w:rsidRPr="00375A49" w:rsidRDefault="00553F4F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15–18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553F4F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>–14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553F4F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7–10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553F4F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3–6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  <w:t xml:space="preserve">                  </w:t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0–</w:t>
            </w:r>
            <w:r w:rsidR="00553F4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913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BC3ACE" w:rsidRPr="00375A49" w:rsidRDefault="00BC3ACE" w:rsidP="00BC3ACE">
      <w:pPr>
        <w:jc w:val="both"/>
        <w:rPr>
          <w:b/>
          <w:lang w:val="cs-CZ"/>
        </w:rPr>
      </w:pPr>
    </w:p>
    <w:p w:rsidR="00BC3ACE" w:rsidRPr="00375A49" w:rsidRDefault="00BC3ACE" w:rsidP="00BC3ACE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BC3ACE" w:rsidRPr="00B570E3" w:rsidRDefault="00BC3ACE" w:rsidP="00EC0B12">
      <w:pPr>
        <w:pStyle w:val="Nadpis3"/>
      </w:pPr>
      <w:bookmarkStart w:id="186" w:name="_Toc7772774"/>
      <w:bookmarkStart w:id="187" w:name="_Toc11664144"/>
      <w:r w:rsidRPr="00B570E3">
        <w:lastRenderedPageBreak/>
        <w:t>SYNTÉZA MODULŮ M4 A M5</w:t>
      </w:r>
      <w:bookmarkEnd w:id="186"/>
      <w:bookmarkEnd w:id="187"/>
    </w:p>
    <w:p w:rsidR="00BC3ACE" w:rsidRPr="00C117B1" w:rsidRDefault="00BC3ACE" w:rsidP="001F4432">
      <w:pPr>
        <w:pStyle w:val="W3MUZkonParagrafNzev"/>
        <w:shd w:val="clear" w:color="auto" w:fill="FFFFFF" w:themeFill="background1"/>
        <w:tabs>
          <w:tab w:val="num" w:pos="0"/>
        </w:tabs>
        <w:spacing w:before="0" w:after="120"/>
        <w:rPr>
          <w:color w:val="auto"/>
          <w:sz w:val="18"/>
          <w:szCs w:val="18"/>
        </w:rPr>
      </w:pPr>
    </w:p>
    <w:p w:rsidR="00553F4F" w:rsidRPr="00B570E3" w:rsidRDefault="00553F4F" w:rsidP="00553F4F">
      <w:pPr>
        <w:shd w:val="clear" w:color="auto" w:fill="FFFFFF" w:themeFill="background1"/>
        <w:jc w:val="both"/>
        <w:rPr>
          <w:rFonts w:cstheme="minorHAnsi"/>
          <w:lang w:val="cs-CZ"/>
        </w:rPr>
      </w:pPr>
      <w:r w:rsidRPr="006B3618">
        <w:rPr>
          <w:rFonts w:cstheme="minorHAnsi"/>
          <w:lang w:val="cs-CZ"/>
        </w:rPr>
        <w:t>Moduly M4 a M5 představují jednotný organický celek</w:t>
      </w:r>
      <w:r w:rsidRPr="00B570E3">
        <w:rPr>
          <w:rFonts w:cstheme="minorHAnsi"/>
          <w:lang w:val="cs-CZ"/>
        </w:rPr>
        <w:t>, protože tvoří logickou koncepční jednotku. Na modul M4, který představují retrospektivní data, navazuje</w:t>
      </w:r>
      <w:r w:rsidRPr="00C117B1">
        <w:rPr>
          <w:rFonts w:cstheme="minorHAnsi"/>
          <w:lang w:val="cs-CZ"/>
        </w:rPr>
        <w:t xml:space="preserve"> </w:t>
      </w:r>
      <w:r w:rsidRPr="006B3618">
        <w:rPr>
          <w:rFonts w:cstheme="minorHAnsi"/>
          <w:lang w:val="cs-CZ"/>
        </w:rPr>
        <w:t>modul M5 SWOT analýzou s projekcí do nastavení hlavního cíle, vize v souladu s misí vysoké školy a tvorby strategie a koncepc</w:t>
      </w:r>
      <w:r w:rsidRPr="00B570E3">
        <w:rPr>
          <w:rFonts w:cstheme="minorHAnsi"/>
          <w:lang w:val="cs-CZ"/>
        </w:rPr>
        <w:t>e. Z tohoto důvodu bude i struktura sebeevaluační zprávy pro moduly M4 a M5 tvořit jeden celek.</w:t>
      </w:r>
    </w:p>
    <w:p w:rsidR="00553F4F" w:rsidRPr="00B570E3" w:rsidRDefault="00553F4F" w:rsidP="00553F4F">
      <w:pPr>
        <w:shd w:val="clear" w:color="auto" w:fill="FFFFFF" w:themeFill="background1"/>
        <w:jc w:val="both"/>
        <w:rPr>
          <w:rFonts w:cstheme="minorHAnsi"/>
          <w:lang w:val="cs-CZ"/>
        </w:rPr>
      </w:pPr>
    </w:p>
    <w:p w:rsidR="00553F4F" w:rsidRPr="00B570E3" w:rsidRDefault="00553F4F" w:rsidP="00553F4F">
      <w:pPr>
        <w:pStyle w:val="Nzev"/>
        <w:shd w:val="clear" w:color="auto" w:fill="FFFFFF" w:themeFill="background1"/>
        <w:outlineLvl w:val="9"/>
      </w:pPr>
      <w:r w:rsidRPr="00B570E3">
        <w:t xml:space="preserve">Celkové kvantitativní hodnocení modulů M4 a M5 je součtem bodového hodnocení </w:t>
      </w:r>
      <w:r w:rsidR="00D71779">
        <w:t>25</w:t>
      </w:r>
      <w:r w:rsidRPr="00B570E3">
        <w:t xml:space="preserve"> kritérií z modulu M4 a bodového hodnocení 4 kritérií z modulu M5 a stanoví se pomocí stupnice celkového hodnocení (viz tab. </w:t>
      </w:r>
      <w:r>
        <w:t>9</w:t>
      </w:r>
      <w:r w:rsidRPr="00B570E3">
        <w:t xml:space="preserve">). </w:t>
      </w:r>
      <w:r w:rsidRPr="00282A5F">
        <w:t>Maximáln</w:t>
      </w:r>
      <w:r>
        <w:t>í</w:t>
      </w:r>
      <w:r w:rsidRPr="00282A5F">
        <w:t xml:space="preserve"> </w:t>
      </w:r>
      <w:r>
        <w:t xml:space="preserve">bodové ohodnocení </w:t>
      </w:r>
      <w:r w:rsidRPr="00282A5F">
        <w:t xml:space="preserve">je </w:t>
      </w:r>
      <w:r>
        <w:t>145</w:t>
      </w:r>
      <w:r w:rsidRPr="00282A5F">
        <w:t xml:space="preserve"> bodů</w:t>
      </w:r>
      <w:r w:rsidRPr="00B570E3">
        <w:t>.</w:t>
      </w:r>
    </w:p>
    <w:p w:rsidR="00BC3ACE" w:rsidRPr="00B570E3" w:rsidRDefault="00BC3ACE" w:rsidP="001F4432">
      <w:pPr>
        <w:pStyle w:val="Nzev"/>
        <w:shd w:val="clear" w:color="auto" w:fill="FFFFFF" w:themeFill="background1"/>
        <w:outlineLvl w:val="9"/>
      </w:pPr>
      <w:r w:rsidRPr="00B570E3">
        <w:t xml:space="preserve">Tabulka </w:t>
      </w:r>
      <w:r w:rsidR="0077004E">
        <w:t>9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4A0"/>
      </w:tblPr>
      <w:tblGrid>
        <w:gridCol w:w="9214"/>
      </w:tblGrid>
      <w:tr w:rsidR="00BC3ACE" w:rsidRPr="00375A49" w:rsidTr="001F4432">
        <w:trPr>
          <w:cantSplit/>
          <w:trHeight w:val="296"/>
        </w:trPr>
        <w:tc>
          <w:tcPr>
            <w:tcW w:w="9214" w:type="dxa"/>
            <w:shd w:val="clear" w:color="auto" w:fill="FFFFFF" w:themeFill="background1"/>
          </w:tcPr>
          <w:p w:rsidR="00BC3ACE" w:rsidRPr="00B570E3" w:rsidRDefault="00BC3ACE" w:rsidP="00D71779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570E3">
              <w:rPr>
                <w:rFonts w:cstheme="minorHAnsi"/>
                <w:b/>
                <w:sz w:val="20"/>
                <w:szCs w:val="20"/>
              </w:rPr>
              <w:t>STUPNICE CELKOVÉHO HODNOCENÍ M4 A M5</w:t>
            </w:r>
          </w:p>
          <w:p w:rsidR="00BC3ACE" w:rsidRPr="00B570E3" w:rsidRDefault="00553F4F" w:rsidP="001F4432">
            <w:pPr>
              <w:pStyle w:val="W3MUZkonOdstavecslovan"/>
              <w:shd w:val="clear" w:color="auto" w:fill="FFFFFF" w:themeFill="background1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 130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E12FD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BC3ACE" w:rsidRPr="00B570E3" w:rsidRDefault="00553F4F" w:rsidP="001F4432">
            <w:pPr>
              <w:pStyle w:val="W3MUZkonOdstavecslovan"/>
              <w:shd w:val="clear" w:color="auto" w:fill="FFFFFF" w:themeFill="background1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102–130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B570E3" w:rsidRDefault="00553F4F" w:rsidP="001F4432">
            <w:pPr>
              <w:pStyle w:val="W3MUZkonOdstavecslovan"/>
              <w:shd w:val="clear" w:color="auto" w:fill="FFFFFF" w:themeFill="background1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73–101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B570E3" w:rsidRDefault="00553F4F" w:rsidP="001F4432">
            <w:pPr>
              <w:pStyle w:val="W3MUZkonOdstavecslovan"/>
              <w:shd w:val="clear" w:color="auto" w:fill="FFFFFF" w:themeFill="background1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44–72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B570E3" w:rsidRDefault="00553F4F" w:rsidP="001F4432">
            <w:pPr>
              <w:pStyle w:val="W3MUZkonOdstavecslovan"/>
              <w:shd w:val="clear" w:color="auto" w:fill="FFFFFF" w:themeFill="background1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15–43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BC3ACE" w:rsidRPr="00375A49" w:rsidRDefault="00553F4F" w:rsidP="001F4432">
            <w:pPr>
              <w:pStyle w:val="W3MUZkonOdstavecslovan"/>
              <w:shd w:val="clear" w:color="auto" w:fill="FFFFFF" w:themeFill="background1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0–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B570E3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913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BC3ACE" w:rsidRPr="00375A49" w:rsidRDefault="00BC3ACE" w:rsidP="00BC3ACE">
      <w:pPr>
        <w:rPr>
          <w:rFonts w:cstheme="minorHAnsi"/>
          <w:b/>
          <w:sz w:val="30"/>
          <w:szCs w:val="30"/>
          <w:lang w:val="cs-CZ"/>
        </w:rPr>
      </w:pPr>
    </w:p>
    <w:p w:rsidR="00BC3ACE" w:rsidRDefault="00BC3ACE" w:rsidP="00BC3ACE">
      <w:pPr>
        <w:rPr>
          <w:lang w:val="cs-CZ" w:eastAsia="cs-CZ"/>
        </w:rPr>
      </w:pPr>
    </w:p>
    <w:p w:rsidR="00BC3ACE" w:rsidRDefault="00BC3ACE" w:rsidP="00BC3ACE">
      <w:pPr>
        <w:rPr>
          <w:rFonts w:cstheme="minorHAnsi"/>
          <w:b/>
          <w:bCs/>
          <w:lang w:val="cs-CZ"/>
        </w:rPr>
      </w:pPr>
      <w:r>
        <w:rPr>
          <w:rFonts w:cstheme="minorHAnsi"/>
          <w:b/>
          <w:bCs/>
          <w:lang w:val="cs-CZ"/>
        </w:rPr>
        <w:br w:type="page"/>
      </w:r>
    </w:p>
    <w:p w:rsidR="00BC3ACE" w:rsidRPr="00375A49" w:rsidRDefault="00BC3ACE" w:rsidP="00BC3AC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  <w:r w:rsidRPr="00375A49">
        <w:rPr>
          <w:rFonts w:cstheme="minorHAnsi"/>
          <w:b/>
          <w:bCs/>
          <w:lang w:val="cs-CZ"/>
        </w:rPr>
        <w:lastRenderedPageBreak/>
        <w:t>___________________________________________________________________________</w:t>
      </w:r>
    </w:p>
    <w:p w:rsidR="00BC3ACE" w:rsidRPr="00AF2467" w:rsidRDefault="00BC3ACE" w:rsidP="00BC3ACE">
      <w:pPr>
        <w:pStyle w:val="Nadpis2"/>
        <w:numPr>
          <w:ilvl w:val="1"/>
          <w:numId w:val="14"/>
        </w:numPr>
      </w:pPr>
      <w:bookmarkStart w:id="188" w:name="_Toc6493957"/>
      <w:bookmarkStart w:id="189" w:name="_Toc7772775"/>
      <w:bookmarkStart w:id="190" w:name="_Toc11664145"/>
      <w:r>
        <w:t>HODNOCENÍ</w:t>
      </w:r>
      <w:r w:rsidRPr="00AF2467">
        <w:t xml:space="preserve"> STÁTNÍ VYSOKÉ ŠKOLY POLICEJNÍ V MODULECH  M3-M5</w:t>
      </w:r>
      <w:bookmarkEnd w:id="188"/>
      <w:bookmarkEnd w:id="189"/>
      <w:bookmarkEnd w:id="190"/>
    </w:p>
    <w:p w:rsidR="00BC3ACE" w:rsidRPr="00375A49" w:rsidRDefault="00BC3ACE" w:rsidP="00BC3AC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sz w:val="16"/>
          <w:szCs w:val="16"/>
          <w:lang w:val="cs-CZ"/>
        </w:rPr>
      </w:pPr>
    </w:p>
    <w:p w:rsidR="00BC3ACE" w:rsidRPr="00375A49" w:rsidRDefault="00BC3ACE" w:rsidP="00EC0B12">
      <w:pPr>
        <w:pStyle w:val="Nadpis3"/>
      </w:pPr>
      <w:bookmarkStart w:id="191" w:name="_Toc6493958"/>
      <w:bookmarkStart w:id="192" w:name="_Toc7772776"/>
      <w:bookmarkStart w:id="193" w:name="_Toc11664146"/>
      <w:r w:rsidRPr="00375A49">
        <w:t>KALIBRACE A BODOVÉ HODNOCENÍ MODULU M3</w:t>
      </w:r>
      <w:bookmarkEnd w:id="191"/>
      <w:bookmarkEnd w:id="192"/>
      <w:bookmarkEnd w:id="193"/>
    </w:p>
    <w:p w:rsidR="00BC3ACE" w:rsidRPr="00375A49" w:rsidRDefault="00BC3ACE" w:rsidP="00BC3ACE">
      <w:pPr>
        <w:pStyle w:val="W3MUZkonOdstavecslovan"/>
        <w:jc w:val="both"/>
        <w:outlineLvl w:val="9"/>
        <w:rPr>
          <w:rFonts w:asciiTheme="minorHAnsi" w:hAnsiTheme="minorHAnsi" w:cstheme="minorHAnsi"/>
          <w:sz w:val="22"/>
        </w:rPr>
      </w:pPr>
    </w:p>
    <w:p w:rsidR="00712810" w:rsidRPr="00375A49" w:rsidRDefault="00712810" w:rsidP="00712810">
      <w:pPr>
        <w:pStyle w:val="Styl123"/>
        <w:outlineLvl w:val="9"/>
      </w:pPr>
      <w:r>
        <w:t xml:space="preserve">Modul </w:t>
      </w:r>
      <w:r w:rsidRPr="00375A49">
        <w:t xml:space="preserve">M3 je důležitý zejména pro vysoké školy, které provádějí </w:t>
      </w:r>
      <w:r w:rsidRPr="002461DA">
        <w:t>aplikovaný výzkum</w:t>
      </w:r>
      <w:r>
        <w:t xml:space="preserve">, </w:t>
      </w:r>
      <w:r w:rsidRPr="00375A49">
        <w:t xml:space="preserve">přímo slouží uživatelům, jako jsou průmyslová odvětví, veřejný sektor nebo jiné výzkumné organizace. </w:t>
      </w:r>
    </w:p>
    <w:p w:rsidR="00BC3ACE" w:rsidRDefault="00BC3ACE" w:rsidP="00BC3ACE">
      <w:pPr>
        <w:pStyle w:val="Styl123"/>
        <w:outlineLvl w:val="9"/>
      </w:pPr>
      <w:r w:rsidRPr="004044B3">
        <w:t xml:space="preserve">Obecně platí, že hodnocenou jednotkou v modulu M3 je fakulta nebo jiná relevantní součást vysoké školy. Pro státní vysoké školy </w:t>
      </w:r>
      <w:r w:rsidR="00AC44FE">
        <w:t>policejní</w:t>
      </w:r>
      <w:r w:rsidR="00AC44FE" w:rsidRPr="004044B3">
        <w:t xml:space="preserve"> </w:t>
      </w:r>
      <w:r w:rsidRPr="004044B3">
        <w:t xml:space="preserve">je hodnocenou jednotkou </w:t>
      </w:r>
      <w:r>
        <w:t xml:space="preserve">vysoká </w:t>
      </w:r>
      <w:r w:rsidRPr="004044B3">
        <w:t>škola jako celek.</w:t>
      </w:r>
    </w:p>
    <w:p w:rsidR="00BC3ACE" w:rsidRPr="00375A49" w:rsidRDefault="00BC3ACE" w:rsidP="00BC3ACE">
      <w:pPr>
        <w:pStyle w:val="Nzev"/>
        <w:outlineLvl w:val="9"/>
      </w:pPr>
      <w:r w:rsidRPr="00375A49">
        <w:t xml:space="preserve">Z důvodu rozdílné míry společenského významu jednotlivých kritérií vykazuje </w:t>
      </w:r>
      <w:r>
        <w:t xml:space="preserve">modul </w:t>
      </w:r>
      <w:r w:rsidRPr="00375A49">
        <w:t>M3 ve  srovnání s</w:t>
      </w:r>
      <w:r w:rsidR="00C60731">
        <w:t> </w:t>
      </w:r>
      <w:r w:rsidRPr="00375A49">
        <w:t>modu</w:t>
      </w:r>
      <w:r w:rsidR="0094014A">
        <w:t>ly M4 a M5 některá specifika</w:t>
      </w:r>
      <w:r w:rsidRPr="00375A49">
        <w:t xml:space="preserve">. Tyto zvláštnosti jsou upraveny nadefinovanou indikativní relevancí pro </w:t>
      </w:r>
      <w:r w:rsidR="00884C2C">
        <w:t>jednotlivá kritéria</w:t>
      </w:r>
      <w:r w:rsidRPr="00375A49">
        <w:t xml:space="preserve"> prostřednictvím počtu hvězdiček.</w:t>
      </w:r>
    </w:p>
    <w:p w:rsidR="00BC3ACE" w:rsidRPr="00375A49" w:rsidRDefault="00884C2C" w:rsidP="00BC3ACE">
      <w:pPr>
        <w:pStyle w:val="Nzev"/>
        <w:outlineLvl w:val="9"/>
      </w:pPr>
      <w:r>
        <w:t>Indikativní r</w:t>
      </w:r>
      <w:r w:rsidR="00BC3ACE" w:rsidRPr="00375A49">
        <w:t>elevance každého kritéria (počet hvězdiček) je v</w:t>
      </w:r>
      <w:r w:rsidR="00BC3ACE">
        <w:t xml:space="preserve"> modulu </w:t>
      </w:r>
      <w:r w:rsidR="00BC3ACE" w:rsidRPr="00375A49">
        <w:t xml:space="preserve">M3 definována následovně: 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363697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BC3ACE" w:rsidRPr="00375A49" w:rsidRDefault="00BC3ACE" w:rsidP="007128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 xml:space="preserve">RELEVANCE </w:t>
            </w:r>
            <w:r w:rsidRPr="004044B3">
              <w:rPr>
                <w:rFonts w:cstheme="minorHAnsi"/>
                <w:b/>
                <w:sz w:val="20"/>
                <w:szCs w:val="20"/>
              </w:rPr>
              <w:t>KRITÉRIÍ PRO STÁTNÍ VYSOKÉ ŠKOLY</w:t>
            </w:r>
            <w:r>
              <w:rPr>
                <w:rFonts w:cstheme="minorHAnsi"/>
                <w:b/>
                <w:sz w:val="20"/>
                <w:szCs w:val="20"/>
              </w:rPr>
              <w:t xml:space="preserve"> POLICEJNÍ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5A08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Vysoce</w:t>
            </w:r>
            <w:r w:rsidR="00FA15F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relevantní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5A08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Významně relevantní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5A08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Relevantní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E12FD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5A08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Částečně relevantní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1*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5A08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Málo relevantní</w:t>
            </w:r>
          </w:p>
        </w:tc>
      </w:tr>
    </w:tbl>
    <w:p w:rsidR="00BC3ACE" w:rsidRPr="00375A49" w:rsidRDefault="00BC3ACE" w:rsidP="00BC3ACE">
      <w:pPr>
        <w:jc w:val="both"/>
        <w:rPr>
          <w:b/>
          <w:lang w:val="cs-CZ"/>
        </w:rPr>
      </w:pPr>
    </w:p>
    <w:p w:rsidR="00BC3ACE" w:rsidRPr="00F65572" w:rsidRDefault="00BC3ACE" w:rsidP="00BC3ACE">
      <w:pPr>
        <w:rPr>
          <w:lang w:val="cs-CZ"/>
        </w:rPr>
      </w:pPr>
      <w:r w:rsidRPr="00375A49">
        <w:rPr>
          <w:lang w:val="cs-CZ"/>
        </w:rPr>
        <w:t xml:space="preserve">Pro každé kritérium je indikativní relevance ve vztahu k míře společenského </w:t>
      </w:r>
      <w:r w:rsidR="00884C2C">
        <w:rPr>
          <w:lang w:val="cs-CZ"/>
        </w:rPr>
        <w:t>významu</w:t>
      </w:r>
      <w:r w:rsidRPr="00375A49">
        <w:rPr>
          <w:lang w:val="cs-CZ"/>
        </w:rPr>
        <w:t xml:space="preserve"> stanovena tak</w:t>
      </w:r>
      <w:r w:rsidR="00F65572">
        <w:rPr>
          <w:lang w:val="cs-CZ"/>
        </w:rPr>
        <w:t>to:</w:t>
      </w:r>
    </w:p>
    <w:tbl>
      <w:tblPr>
        <w:tblStyle w:val="Mkatabulky"/>
        <w:tblW w:w="9222" w:type="dxa"/>
        <w:tblInd w:w="-23" w:type="dxa"/>
        <w:tblLayout w:type="fixed"/>
        <w:tblLook w:val="04A0"/>
      </w:tblPr>
      <w:tblGrid>
        <w:gridCol w:w="667"/>
        <w:gridCol w:w="6996"/>
        <w:gridCol w:w="1559"/>
      </w:tblGrid>
      <w:tr w:rsidR="00BC3ACE" w:rsidRPr="00375A49" w:rsidTr="00363697">
        <w:trPr>
          <w:cantSplit/>
          <w:trHeight w:val="510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>KRITÉRIA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>POLICEJNÍ VYSOKÉ ŠKOLY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3.2</w:t>
            </w:r>
          </w:p>
        </w:tc>
        <w:tc>
          <w:tcPr>
            <w:tcW w:w="6996" w:type="dxa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534EA1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Projekty aplikovaného výzkumu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3*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3.3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534E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Smluvní výzkum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F40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3.4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534EA1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Výnosy z neveřejných zdrojů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F40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3.5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534EA1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Výsledky aplikovaného výzkumu s ekonomickým dopadem na společnost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2*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3.6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534EA1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Výsledky aplikovaného výzkumu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75A49">
              <w:rPr>
                <w:rFonts w:cstheme="minorHAnsi"/>
                <w:sz w:val="18"/>
                <w:szCs w:val="18"/>
              </w:rPr>
              <w:t xml:space="preserve">s jiným než ekonomickým dopadem na společnost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3.7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Interakce </w:t>
            </w:r>
            <w:r w:rsidRPr="002461DA">
              <w:rPr>
                <w:rFonts w:cstheme="minorHAnsi"/>
                <w:sz w:val="18"/>
                <w:szCs w:val="18"/>
              </w:rPr>
              <w:t>hodnocené jednotky</w:t>
            </w:r>
            <w:r w:rsidRPr="00375A49">
              <w:rPr>
                <w:rFonts w:cstheme="minorHAnsi"/>
                <w:sz w:val="18"/>
                <w:szCs w:val="18"/>
              </w:rPr>
              <w:t xml:space="preserve"> s mimouniverzitní aplikační/firemní sférou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3.8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Systém a podpora transferu technologií a ochrany duševního vlastnictví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2*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3.9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B64D29">
            <w:pPr>
              <w:rPr>
                <w:rFonts w:cstheme="minorHAnsi"/>
                <w:sz w:val="18"/>
                <w:szCs w:val="18"/>
              </w:rPr>
            </w:pPr>
            <w:r w:rsidRPr="004F357A">
              <w:rPr>
                <w:rFonts w:cstheme="minorHAnsi"/>
                <w:sz w:val="18"/>
                <w:szCs w:val="18"/>
              </w:rPr>
              <w:t>Strategie zakládání a podpora spin-off firem nebo jin</w:t>
            </w:r>
            <w:r>
              <w:rPr>
                <w:rFonts w:cstheme="minorHAnsi"/>
                <w:sz w:val="18"/>
                <w:szCs w:val="18"/>
              </w:rPr>
              <w:t>ých</w:t>
            </w:r>
            <w:r w:rsidRPr="004F357A">
              <w:rPr>
                <w:rFonts w:cstheme="minorHAnsi"/>
                <w:sz w:val="18"/>
                <w:szCs w:val="18"/>
              </w:rPr>
              <w:t xml:space="preserve"> for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4F357A">
              <w:rPr>
                <w:rFonts w:cstheme="minorHAnsi"/>
                <w:sz w:val="18"/>
                <w:szCs w:val="18"/>
              </w:rPr>
              <w:t xml:space="preserve">m komercionalizace výsledků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4F357A">
              <w:rPr>
                <w:rFonts w:cstheme="minorHAnsi"/>
                <w:sz w:val="18"/>
                <w:szCs w:val="18"/>
              </w:rPr>
              <w:t xml:space="preserve"> (lze vztáhnout k celé </w:t>
            </w:r>
            <w:r w:rsidR="00B64D29">
              <w:rPr>
                <w:rFonts w:cstheme="minorHAnsi"/>
                <w:sz w:val="18"/>
                <w:szCs w:val="18"/>
              </w:rPr>
              <w:t>vysoké škole</w:t>
            </w:r>
            <w:r w:rsidRPr="004F357A">
              <w:rPr>
                <w:rFonts w:cstheme="minorHAnsi"/>
                <w:sz w:val="18"/>
                <w:szCs w:val="18"/>
              </w:rPr>
              <w:t xml:space="preserve"> se zdůrazněním specifik hodnocené jednotky)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F40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3.10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Významná individuální ocenění za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3*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3.11</w:t>
            </w:r>
          </w:p>
        </w:tc>
        <w:tc>
          <w:tcPr>
            <w:tcW w:w="699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Uznání mezinárodní komunitou v oblasti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(volená členství v odborných společnostech atd.)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3*</w:t>
            </w:r>
          </w:p>
        </w:tc>
      </w:tr>
      <w:tr w:rsidR="00F4030E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3.12</w:t>
            </w:r>
          </w:p>
        </w:tc>
        <w:tc>
          <w:tcPr>
            <w:tcW w:w="6996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Významné aktivity v oblasti popularizace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a komunikace s veřejností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030E" w:rsidRPr="00375A49" w:rsidRDefault="00F4030E" w:rsidP="00F4030E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5*</w:t>
            </w:r>
          </w:p>
        </w:tc>
      </w:tr>
      <w:tr w:rsidR="00BC3ACE" w:rsidRPr="00375A49" w:rsidTr="00363697">
        <w:trPr>
          <w:trHeight w:val="340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18"/>
                <w:szCs w:val="18"/>
              </w:rPr>
            </w:pPr>
          </w:p>
          <w:p w:rsidR="00BC3ACE" w:rsidRPr="00375A49" w:rsidRDefault="00BC3ACE" w:rsidP="00363697">
            <w:pPr>
              <w:rPr>
                <w:rFonts w:cstheme="minorHAnsi"/>
                <w:sz w:val="20"/>
                <w:szCs w:val="20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>CELKOVÁ INDIKATIVNÍ RELEVANCE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</w:p>
          <w:p w:rsidR="00BC3ACE" w:rsidRPr="00375A49" w:rsidRDefault="00BC3ACE" w:rsidP="00363697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28*</w:t>
            </w:r>
          </w:p>
        </w:tc>
      </w:tr>
    </w:tbl>
    <w:p w:rsidR="00534EA1" w:rsidRDefault="00534EA1" w:rsidP="00BC3ACE">
      <w:pPr>
        <w:pStyle w:val="Nzev"/>
        <w:outlineLvl w:val="9"/>
      </w:pPr>
    </w:p>
    <w:p w:rsidR="00BC3ACE" w:rsidRPr="00375A49" w:rsidRDefault="00BC3ACE" w:rsidP="00BC3ACE">
      <w:pPr>
        <w:pStyle w:val="Nzev"/>
        <w:outlineLvl w:val="9"/>
      </w:pPr>
      <w:r w:rsidRPr="00436227">
        <w:t>Kritérium 3.1 nemá indikativní relevanci a představuje úvod, v němž státní vysoká škola policejní zho</w:t>
      </w:r>
      <w:r w:rsidR="007B2259">
        <w:t>dnotí společenský přínos VaVaI</w:t>
      </w:r>
      <w:r w:rsidRPr="00436227">
        <w:t xml:space="preserve"> v oborech rozvíjených na hodnocené státní vysoké škole policejní jako celku.</w:t>
      </w:r>
    </w:p>
    <w:p w:rsidR="00BC3ACE" w:rsidRDefault="00BC3ACE" w:rsidP="00BC3ACE">
      <w:pPr>
        <w:pStyle w:val="Nzev"/>
        <w:outlineLvl w:val="9"/>
      </w:pPr>
      <w:r w:rsidRPr="00375A49">
        <w:lastRenderedPageBreak/>
        <w:t xml:space="preserve">Celkový počet </w:t>
      </w:r>
      <w:r w:rsidR="00724D83">
        <w:t>28 hvězdiček</w:t>
      </w:r>
      <w:r w:rsidRPr="00375A49">
        <w:t xml:space="preserve"> tak představuje indikativní relevanci </w:t>
      </w:r>
      <w:r>
        <w:t xml:space="preserve">modulu </w:t>
      </w:r>
      <w:r w:rsidRPr="00375A49">
        <w:t xml:space="preserve">M3 (kalibraci) pro </w:t>
      </w:r>
      <w:r>
        <w:t xml:space="preserve">státní </w:t>
      </w:r>
      <w:r w:rsidRPr="00375A49">
        <w:t>vysok</w:t>
      </w:r>
      <w:r>
        <w:t>é</w:t>
      </w:r>
      <w:r w:rsidRPr="00375A49">
        <w:t xml:space="preserve"> škol</w:t>
      </w:r>
      <w:r>
        <w:t>y policejní</w:t>
      </w:r>
      <w:r w:rsidRPr="00375A49">
        <w:t xml:space="preserve">. </w:t>
      </w:r>
    </w:p>
    <w:p w:rsidR="00712810" w:rsidRPr="00375A49" w:rsidRDefault="00712810" w:rsidP="00712810">
      <w:pPr>
        <w:pStyle w:val="Nzev"/>
        <w:outlineLvl w:val="9"/>
      </w:pPr>
      <w:r>
        <w:t>Každé kritérium (kromě nerelevantních) je ohodnoceno body v rozmezí 0 – 5 určující jednotlivé stupně hodnocení (viz tab. 1).</w:t>
      </w:r>
      <w:r w:rsidRPr="00375A49">
        <w:t xml:space="preserve"> </w:t>
      </w:r>
    </w:p>
    <w:p w:rsidR="00BC3ACE" w:rsidRPr="00375A49" w:rsidRDefault="00BC3ACE" w:rsidP="00BC3ACE">
      <w:pPr>
        <w:pStyle w:val="Nzev"/>
        <w:outlineLvl w:val="9"/>
      </w:pPr>
      <w:r w:rsidRPr="00375A49">
        <w:t>Tabulka 1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363697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STUPNĚ HODNOCENÍ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5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E12FD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bod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bodů</w:t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913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BC3ACE" w:rsidRPr="00375A49" w:rsidRDefault="00BC3ACE" w:rsidP="00BC3ACE">
      <w:pPr>
        <w:pStyle w:val="Odstavecseseznamem"/>
        <w:ind w:left="1080"/>
        <w:jc w:val="both"/>
        <w:rPr>
          <w:b/>
          <w:lang w:val="cs-CZ"/>
        </w:rPr>
      </w:pPr>
    </w:p>
    <w:p w:rsidR="00712810" w:rsidRPr="00375A49" w:rsidRDefault="00712810" w:rsidP="00712810">
      <w:pPr>
        <w:pStyle w:val="Nzev"/>
        <w:outlineLvl w:val="9"/>
      </w:pPr>
      <w:r>
        <w:t>Bodový zisk hodnocené jednotky v modulu M3 je stanoven jako suma součinů indikativní relevance každého kritéria (počet hvězdiček) a bodového ohodnocení jednotlivých kritérií.</w:t>
      </w:r>
      <w:r w:rsidRPr="00375A49">
        <w:t xml:space="preserve"> </w:t>
      </w:r>
      <w:r>
        <w:t>Maximální bodové ohodnocení je 140 bodů</w:t>
      </w:r>
      <w:r w:rsidRPr="00375A49">
        <w:t>. Bodové hodnocení každého kritéria se následně doplní o slovní hodnocení vč.</w:t>
      </w:r>
      <w:r>
        <w:t> </w:t>
      </w:r>
      <w:r w:rsidRPr="00375A49">
        <w:t>nepovinného doporučení</w:t>
      </w:r>
      <w:r w:rsidRPr="00AE4274">
        <w:t xml:space="preserve">. Celkové </w:t>
      </w:r>
      <w:r w:rsidRPr="00375A49">
        <w:t>hodnocení v</w:t>
      </w:r>
      <w:r>
        <w:t> modulu M3 se stanoví</w:t>
      </w:r>
      <w:r w:rsidRPr="00375A49">
        <w:t xml:space="preserve"> pomocí stupnice hodnocení (viz tab. 2).</w:t>
      </w:r>
    </w:p>
    <w:p w:rsidR="00BC3ACE" w:rsidRPr="00375A49" w:rsidRDefault="00BC3ACE" w:rsidP="00BC3ACE">
      <w:pPr>
        <w:pStyle w:val="Nzev"/>
        <w:outlineLvl w:val="9"/>
      </w:pPr>
      <w:r w:rsidRPr="00375A49">
        <w:t>Tabulka 2</w:t>
      </w:r>
    </w:p>
    <w:p w:rsidR="00BC3ACE" w:rsidRPr="00375A49" w:rsidRDefault="00BC3ACE" w:rsidP="00BC3A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b/>
          <w:sz w:val="18"/>
          <w:szCs w:val="18"/>
          <w:lang w:val="en-AU"/>
        </w:rPr>
      </w:pPr>
      <w:r w:rsidRPr="00375A49">
        <w:rPr>
          <w:rFonts w:cstheme="minorHAnsi"/>
          <w:b/>
          <w:sz w:val="20"/>
          <w:szCs w:val="20"/>
        </w:rPr>
        <w:t xml:space="preserve">                                                                                    STUPNICE HODNOCENÍ</w:t>
      </w:r>
    </w:p>
    <w:p w:rsidR="00BC3ACE" w:rsidRPr="00375A49" w:rsidRDefault="00712810" w:rsidP="00BC3A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&gt;126</w:t>
      </w:r>
      <w:r w:rsidR="00BC3ACE" w:rsidRPr="00375A49">
        <w:rPr>
          <w:rFonts w:cstheme="minorHAnsi"/>
          <w:sz w:val="18"/>
          <w:szCs w:val="18"/>
          <w:lang w:val="en-AU"/>
        </w:rPr>
        <w:t xml:space="preserve"> bodů</w:t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E12FD6">
        <w:rPr>
          <w:rFonts w:cstheme="minorHAnsi"/>
          <w:sz w:val="18"/>
          <w:szCs w:val="18"/>
          <w:lang w:val="en-AU"/>
        </w:rPr>
        <w:t>Vynikající</w:t>
      </w:r>
    </w:p>
    <w:p w:rsidR="00BC3ACE" w:rsidRPr="00375A49" w:rsidRDefault="00712810" w:rsidP="00BC3A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99–126</w:t>
      </w:r>
      <w:r w:rsidR="00BC3ACE" w:rsidRPr="00375A49">
        <w:rPr>
          <w:rFonts w:cstheme="minorHAnsi"/>
          <w:sz w:val="18"/>
          <w:szCs w:val="18"/>
          <w:lang w:val="en-AU"/>
        </w:rPr>
        <w:t xml:space="preserve"> bodů</w:t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F11767">
        <w:rPr>
          <w:rFonts w:cstheme="minorHAnsi"/>
          <w:sz w:val="18"/>
          <w:szCs w:val="18"/>
          <w:lang w:val="en-US"/>
        </w:rPr>
        <w:t>Velmi dobrý</w:t>
      </w:r>
    </w:p>
    <w:p w:rsidR="00BC3ACE" w:rsidRPr="00375A49" w:rsidRDefault="00712810" w:rsidP="00BC3A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71–98</w:t>
      </w:r>
      <w:r w:rsidR="00BC3ACE" w:rsidRPr="00375A49">
        <w:rPr>
          <w:rFonts w:cstheme="minorHAnsi"/>
          <w:sz w:val="18"/>
          <w:szCs w:val="18"/>
          <w:lang w:val="en-AU"/>
        </w:rPr>
        <w:t xml:space="preserve"> bodů </w:t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F11767">
        <w:rPr>
          <w:rFonts w:cstheme="minorHAnsi"/>
          <w:sz w:val="18"/>
          <w:szCs w:val="18"/>
          <w:lang w:val="en-US"/>
        </w:rPr>
        <w:t>Dobrý</w:t>
      </w:r>
    </w:p>
    <w:p w:rsidR="00BC3ACE" w:rsidRPr="00375A49" w:rsidRDefault="00BC3ACE" w:rsidP="00BC3A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 w:rsidRPr="00375A49">
        <w:rPr>
          <w:rFonts w:cstheme="minorHAnsi"/>
          <w:sz w:val="18"/>
          <w:szCs w:val="18"/>
          <w:lang w:val="en-AU"/>
        </w:rPr>
        <w:t>4</w:t>
      </w:r>
      <w:r w:rsidR="00712810">
        <w:rPr>
          <w:rFonts w:cstheme="minorHAnsi"/>
          <w:sz w:val="18"/>
          <w:szCs w:val="18"/>
          <w:lang w:val="en-AU"/>
        </w:rPr>
        <w:t>3–70</w:t>
      </w:r>
      <w:r w:rsidRPr="00375A49">
        <w:rPr>
          <w:rFonts w:cstheme="minorHAnsi"/>
          <w:sz w:val="18"/>
          <w:szCs w:val="18"/>
          <w:lang w:val="en-AU"/>
        </w:rPr>
        <w:t xml:space="preserve"> bodů</w:t>
      </w:r>
      <w:r w:rsidRPr="00375A49"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 w:rsidRPr="00375A49">
        <w:rPr>
          <w:rFonts w:cstheme="minorHAnsi"/>
          <w:sz w:val="18"/>
          <w:szCs w:val="18"/>
          <w:lang w:val="en-AU"/>
        </w:rPr>
        <w:tab/>
      </w:r>
      <w:r w:rsidR="00CC3C1C">
        <w:rPr>
          <w:rFonts w:cstheme="minorHAnsi"/>
          <w:sz w:val="18"/>
          <w:szCs w:val="18"/>
          <w:lang w:val="en-US"/>
        </w:rPr>
        <w:t>Průměrný</w:t>
      </w:r>
    </w:p>
    <w:p w:rsidR="00BC3ACE" w:rsidRPr="00375A49" w:rsidRDefault="00712810" w:rsidP="00BC3A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15–42</w:t>
      </w:r>
      <w:r w:rsidR="00BC3ACE" w:rsidRPr="00375A49">
        <w:rPr>
          <w:rFonts w:cstheme="minorHAnsi"/>
          <w:sz w:val="18"/>
          <w:szCs w:val="18"/>
          <w:lang w:val="en-AU"/>
        </w:rPr>
        <w:t xml:space="preserve"> bodů</w:t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CC3C1C">
        <w:rPr>
          <w:rFonts w:cstheme="minorHAnsi"/>
          <w:sz w:val="18"/>
          <w:szCs w:val="18"/>
          <w:lang w:val="en-US"/>
        </w:rPr>
        <w:t>Podprůměrný</w:t>
      </w:r>
    </w:p>
    <w:p w:rsidR="00BC3ACE" w:rsidRPr="00375A49" w:rsidRDefault="00712810" w:rsidP="00BC3A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rPr>
          <w:rFonts w:cstheme="minorHAnsi"/>
          <w:sz w:val="18"/>
          <w:szCs w:val="18"/>
          <w:u w:val="single"/>
          <w:lang w:val="en-AU"/>
        </w:rPr>
      </w:pPr>
      <w:r>
        <w:rPr>
          <w:rFonts w:cstheme="minorHAnsi"/>
          <w:sz w:val="18"/>
          <w:szCs w:val="18"/>
          <w:lang w:val="en-AU"/>
        </w:rPr>
        <w:t>0–14</w:t>
      </w:r>
      <w:r w:rsidR="00BC3ACE" w:rsidRPr="00375A49">
        <w:rPr>
          <w:rFonts w:cstheme="minorHAnsi"/>
          <w:sz w:val="18"/>
          <w:szCs w:val="18"/>
          <w:lang w:val="en-AU"/>
        </w:rPr>
        <w:t xml:space="preserve"> bodů</w:t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BC3ACE" w:rsidRPr="00375A49">
        <w:rPr>
          <w:rFonts w:cstheme="minorHAnsi"/>
          <w:sz w:val="18"/>
          <w:szCs w:val="18"/>
          <w:lang w:val="en-AU"/>
        </w:rPr>
        <w:tab/>
      </w:r>
      <w:r w:rsidR="009134FB">
        <w:rPr>
          <w:rFonts w:cstheme="minorHAnsi"/>
          <w:sz w:val="18"/>
          <w:szCs w:val="18"/>
          <w:lang w:val="en-US"/>
        </w:rPr>
        <w:t>Nedostatečný</w:t>
      </w:r>
    </w:p>
    <w:p w:rsidR="00BC3ACE" w:rsidRPr="00375A49" w:rsidRDefault="00BC3ACE" w:rsidP="00BC3ACE">
      <w:pPr>
        <w:rPr>
          <w:rFonts w:cstheme="minorHAnsi"/>
          <w:b/>
          <w:sz w:val="28"/>
          <w:szCs w:val="28"/>
          <w:lang w:val="cs-CZ"/>
        </w:rPr>
      </w:pPr>
    </w:p>
    <w:p w:rsidR="00712810" w:rsidRDefault="00712810" w:rsidP="00712810">
      <w:pPr>
        <w:pStyle w:val="Nzev"/>
        <w:outlineLvl w:val="9"/>
      </w:pPr>
      <w:r w:rsidRPr="00375A49">
        <w:t xml:space="preserve">Stupnice hodnocení reflektuje kalibraci prostřednictvím </w:t>
      </w:r>
      <w:r>
        <w:t xml:space="preserve">indikativní relevance jednotlivých kritérií a </w:t>
      </w:r>
      <w:r w:rsidRPr="00375A49">
        <w:t xml:space="preserve">bodového rozsahu </w:t>
      </w:r>
      <w:r>
        <w:t xml:space="preserve">stupně hodnocení </w:t>
      </w:r>
      <w:r w:rsidRPr="00375A49">
        <w:t xml:space="preserve">pro </w:t>
      </w:r>
      <w:r>
        <w:t xml:space="preserve">státní </w:t>
      </w:r>
      <w:r w:rsidRPr="00375A49">
        <w:t>vysoké školy</w:t>
      </w:r>
      <w:r>
        <w:t xml:space="preserve"> policejní.</w:t>
      </w:r>
    </w:p>
    <w:p w:rsidR="00BC3ACE" w:rsidRDefault="00BC3ACE" w:rsidP="00BC3ACE">
      <w:pPr>
        <w:rPr>
          <w:lang w:val="cs-CZ" w:eastAsia="cs-CZ"/>
        </w:rPr>
      </w:pPr>
    </w:p>
    <w:p w:rsidR="00BC3ACE" w:rsidRPr="00375A49" w:rsidRDefault="00BC3ACE" w:rsidP="00BC3ACE">
      <w:pPr>
        <w:rPr>
          <w:rFonts w:eastAsia="Calibri" w:cstheme="minorHAnsi"/>
          <w:lang w:val="cs-CZ" w:eastAsia="cs-CZ"/>
        </w:rPr>
      </w:pPr>
      <w:r w:rsidRPr="00375A49">
        <w:br w:type="page"/>
      </w:r>
    </w:p>
    <w:p w:rsidR="00BC3ACE" w:rsidRPr="00375A49" w:rsidRDefault="00BC3ACE" w:rsidP="00EC0B12">
      <w:pPr>
        <w:pStyle w:val="Nadpis3"/>
      </w:pPr>
      <w:bookmarkStart w:id="194" w:name="_Toc6493959"/>
      <w:bookmarkStart w:id="195" w:name="_Toc7772777"/>
      <w:bookmarkStart w:id="196" w:name="_Toc11664147"/>
      <w:r w:rsidRPr="00375A49">
        <w:lastRenderedPageBreak/>
        <w:t>BODOVÉ HODNOCENÍ MODULU M4</w:t>
      </w:r>
      <w:bookmarkEnd w:id="194"/>
      <w:bookmarkEnd w:id="195"/>
      <w:bookmarkEnd w:id="196"/>
    </w:p>
    <w:p w:rsidR="00BC3ACE" w:rsidRPr="00375A49" w:rsidRDefault="00BC3ACE" w:rsidP="00BC3ACE">
      <w:pPr>
        <w:pStyle w:val="W3MUZkonParagrafNzev"/>
        <w:tabs>
          <w:tab w:val="num" w:pos="0"/>
        </w:tabs>
        <w:spacing w:before="0" w:after="120"/>
        <w:rPr>
          <w:color w:val="auto"/>
          <w:sz w:val="18"/>
          <w:szCs w:val="18"/>
        </w:rPr>
      </w:pPr>
    </w:p>
    <w:p w:rsidR="0048637E" w:rsidRPr="00375A49" w:rsidRDefault="0048637E" w:rsidP="0048637E">
      <w:pPr>
        <w:pStyle w:val="Nzev"/>
        <w:outlineLvl w:val="9"/>
      </w:pPr>
      <w:r w:rsidRPr="00375A49">
        <w:t>Hodnocenou jednotkou v</w:t>
      </w:r>
      <w:r>
        <w:t xml:space="preserve"> modulu </w:t>
      </w:r>
      <w:r w:rsidRPr="00375A49">
        <w:t xml:space="preserve">M4 je </w:t>
      </w:r>
      <w:r>
        <w:t xml:space="preserve">státní </w:t>
      </w:r>
      <w:r w:rsidRPr="00375A49">
        <w:t>vysoká škola</w:t>
      </w:r>
      <w:r>
        <w:t xml:space="preserve"> policejní </w:t>
      </w:r>
      <w:r w:rsidRPr="00375A49">
        <w:t xml:space="preserve">jako celek. Hodnocen je stav dané vysoké školy dle údajů za </w:t>
      </w:r>
      <w:r>
        <w:t xml:space="preserve">hodnocené </w:t>
      </w:r>
      <w:r w:rsidRPr="00375A49">
        <w:t>obd</w:t>
      </w:r>
      <w:r>
        <w:t>obí 2014-2018</w:t>
      </w:r>
      <w:r w:rsidRPr="00375A49">
        <w:t>.</w:t>
      </w:r>
    </w:p>
    <w:p w:rsidR="0048637E" w:rsidRPr="00375A49" w:rsidRDefault="0048637E" w:rsidP="0048637E">
      <w:pPr>
        <w:pStyle w:val="Nzev"/>
        <w:outlineLvl w:val="9"/>
      </w:pPr>
      <w:r w:rsidRPr="00375A49">
        <w:t>V</w:t>
      </w:r>
      <w:r>
        <w:t xml:space="preserve"> modulu </w:t>
      </w:r>
      <w:r w:rsidRPr="00375A49">
        <w:t>M4 není pro míru společenského významu jednotlivých kritérií zohledněna kalibrace.</w:t>
      </w:r>
    </w:p>
    <w:p w:rsidR="0048637E" w:rsidRPr="00375A49" w:rsidRDefault="0048637E" w:rsidP="0048637E">
      <w:pPr>
        <w:pStyle w:val="Nzev"/>
        <w:outlineLvl w:val="9"/>
      </w:pPr>
      <w:r w:rsidRPr="00375A49">
        <w:t xml:space="preserve">Kvantitativní hodnocení </w:t>
      </w:r>
      <w:r>
        <w:t xml:space="preserve">modulu </w:t>
      </w:r>
      <w:r w:rsidRPr="00375A49">
        <w:t xml:space="preserve">M4 vychází z bodového hodnocení 22 kritérií relevantních pro </w:t>
      </w:r>
      <w:r>
        <w:t>státní</w:t>
      </w:r>
      <w:r w:rsidRPr="00375A49">
        <w:t xml:space="preserve"> vysoké školy</w:t>
      </w:r>
      <w:r>
        <w:t xml:space="preserve"> policejní</w:t>
      </w:r>
      <w:r w:rsidRPr="00375A49">
        <w:t xml:space="preserve">. </w:t>
      </w:r>
      <w:r>
        <w:t>Každé kritérium (kromě nerelevantních) je ohodnoceno body v rozmezí 0 – 5 určující jednotlivé stupně hodnocení</w:t>
      </w:r>
      <w:r w:rsidRPr="00282A5F" w:rsidDel="00DA49E5">
        <w:t xml:space="preserve"> </w:t>
      </w:r>
      <w:r w:rsidRPr="00282A5F">
        <w:t>(viz tab.  3). Maximáln</w:t>
      </w:r>
      <w:r>
        <w:t>í</w:t>
      </w:r>
      <w:r w:rsidRPr="00282A5F">
        <w:t xml:space="preserve"> </w:t>
      </w:r>
      <w:r>
        <w:t xml:space="preserve">bodové ohodnocení </w:t>
      </w:r>
      <w:r w:rsidRPr="00282A5F">
        <w:t>je 1</w:t>
      </w:r>
      <w:r>
        <w:t>10</w:t>
      </w:r>
      <w:r w:rsidRPr="00282A5F">
        <w:t xml:space="preserve"> bodů.</w:t>
      </w:r>
    </w:p>
    <w:p w:rsidR="00BC3ACE" w:rsidRPr="00375A49" w:rsidRDefault="00BC3ACE" w:rsidP="00BC3ACE">
      <w:pPr>
        <w:pStyle w:val="Nzev"/>
        <w:outlineLvl w:val="9"/>
      </w:pPr>
      <w:r w:rsidRPr="00375A49">
        <w:t>Tabulka 3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363697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STUPNĚ HODNOCENÍ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5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0D4A7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bod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bodů</w:t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913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BC3ACE" w:rsidRPr="00375A49" w:rsidRDefault="00BC3ACE" w:rsidP="00BC3ACE">
      <w:pPr>
        <w:jc w:val="both"/>
        <w:rPr>
          <w:b/>
          <w:lang w:val="cs-CZ"/>
        </w:rPr>
      </w:pPr>
    </w:p>
    <w:p w:rsidR="00BC3ACE" w:rsidRPr="00375A49" w:rsidRDefault="00BC3ACE" w:rsidP="00BC3ACE">
      <w:pPr>
        <w:pStyle w:val="Nzev"/>
        <w:outlineLvl w:val="9"/>
      </w:pPr>
      <w:r w:rsidRPr="00375A49">
        <w:t xml:space="preserve">Jednotlivá hodnoticí kritéria v rámci </w:t>
      </w:r>
      <w:r>
        <w:t xml:space="preserve">modulu </w:t>
      </w:r>
      <w:r w:rsidRPr="00375A49">
        <w:t xml:space="preserve">M4 pro </w:t>
      </w:r>
      <w:r>
        <w:t xml:space="preserve">státní </w:t>
      </w:r>
      <w:r w:rsidRPr="00375A49">
        <w:t>vysoké školy</w:t>
      </w:r>
      <w:r>
        <w:t xml:space="preserve"> </w:t>
      </w:r>
      <w:r w:rsidRPr="00375A49">
        <w:t>policejní znázorňuje tab. 4.</w:t>
      </w:r>
    </w:p>
    <w:p w:rsidR="00BC3ACE" w:rsidRPr="00375A49" w:rsidRDefault="00BC3ACE" w:rsidP="00BC3ACE">
      <w:pPr>
        <w:pStyle w:val="Nzev"/>
        <w:outlineLvl w:val="9"/>
      </w:pPr>
      <w:r w:rsidRPr="00375A49">
        <w:t>Tabulka 4</w:t>
      </w:r>
    </w:p>
    <w:tbl>
      <w:tblPr>
        <w:tblStyle w:val="Mkatabulky"/>
        <w:tblW w:w="9222" w:type="dxa"/>
        <w:tblInd w:w="-23" w:type="dxa"/>
        <w:tblLayout w:type="fixed"/>
        <w:tblLook w:val="04A0"/>
      </w:tblPr>
      <w:tblGrid>
        <w:gridCol w:w="667"/>
        <w:gridCol w:w="6996"/>
        <w:gridCol w:w="1559"/>
      </w:tblGrid>
      <w:tr w:rsidR="00BC3ACE" w:rsidRPr="00375A49" w:rsidTr="00363697">
        <w:trPr>
          <w:cantSplit/>
          <w:trHeight w:val="296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5A49">
              <w:rPr>
                <w:rFonts w:cstheme="minorHAnsi"/>
                <w:b/>
                <w:sz w:val="18"/>
                <w:szCs w:val="18"/>
              </w:rPr>
              <w:br w:type="page"/>
              <w:t>KRITÉRIA</w:t>
            </w:r>
          </w:p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>POLICEJNÍ VYSOKÉ ŠKOLY</w:t>
            </w: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</w:t>
            </w:r>
          </w:p>
        </w:tc>
        <w:tc>
          <w:tcPr>
            <w:tcW w:w="69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534EA1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Organizace a řízení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</w:t>
            </w:r>
          </w:p>
        </w:tc>
        <w:tc>
          <w:tcPr>
            <w:tcW w:w="69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Systém podpory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a stimulační opatření pro </w:t>
            </w:r>
            <w:r>
              <w:rPr>
                <w:rFonts w:cstheme="minorHAnsi"/>
                <w:sz w:val="18"/>
                <w:szCs w:val="18"/>
              </w:rPr>
              <w:t>kvalitní</w:t>
            </w:r>
            <w:r w:rsidRPr="00375A49">
              <w:rPr>
                <w:rFonts w:cstheme="minorHAnsi"/>
                <w:sz w:val="18"/>
                <w:szCs w:val="18"/>
              </w:rPr>
              <w:t xml:space="preserve"> vědu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4.3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Institucionální pravidla v</w:t>
            </w:r>
            <w:r>
              <w:rPr>
                <w:rFonts w:cstheme="minorHAnsi"/>
                <w:sz w:val="18"/>
                <w:szCs w:val="18"/>
              </w:rPr>
              <w:t xml:space="preserve">yužití institucionální podpory </w:t>
            </w:r>
            <w:r w:rsidRPr="00375A49">
              <w:rPr>
                <w:rFonts w:cstheme="minorHAnsi"/>
                <w:sz w:val="18"/>
                <w:szCs w:val="18"/>
              </w:rPr>
              <w:t>DKRVO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4.4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EE28A6">
              <w:rPr>
                <w:rFonts w:cstheme="minorHAnsi"/>
                <w:sz w:val="18"/>
                <w:szCs w:val="18"/>
              </w:rPr>
              <w:t>Strategie zakládání, financování a dlouhodobého rozvoje a udržitelnosti výzkumných center a velkých výzkumných infrastruktur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601A11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4.5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Systém vzdělávání v oblasti ochrany duševního vlastnictví a transferu technologií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4.6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Organizace doktorského studia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4.7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Internacionalizace doktorského studia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601A1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4.8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534EA1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Navazující kariéry absolventů doktorského studia (podmínky podpory)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4.9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Pravidla financování doktorských studentů, včetně zahraničních (stimulační a motivační nástroje)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601A11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4.10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Významné spolupráce ve VaVaI</w:t>
            </w:r>
            <w:r w:rsidRPr="00375A49">
              <w:rPr>
                <w:rFonts w:cstheme="minorHAnsi"/>
                <w:sz w:val="18"/>
                <w:szCs w:val="18"/>
              </w:rPr>
              <w:t xml:space="preserve"> na národní úrovni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4.11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Významné spolupráce ve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na mezinárodní úrovni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4.12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Mobilita akademických a výzkumných pracovníků (vč. sektorové a mezisektorové mobility) 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4.13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Internacionalizace vnitřního prostředí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601A1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4.14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Systém kariérního růstu akademických a výzkumných pracovníků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4.15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Systém hodnocení akademických a výzkumných pracovníků a obsazování klíčových pozic ve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4.16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Systém náboru výzkumných a akademických pracovníků z externího prostředí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4.17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534EA1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Struktura lidských zdrojů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4.18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534EA1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Opatření týkající se genderové </w:t>
            </w:r>
            <w:r>
              <w:rPr>
                <w:rFonts w:cstheme="minorHAnsi"/>
                <w:sz w:val="18"/>
                <w:szCs w:val="18"/>
              </w:rPr>
              <w:t>rovnosti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4.19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534EA1">
            <w:pPr>
              <w:rPr>
                <w:rFonts w:cstheme="minorHAnsi"/>
                <w:sz w:val="18"/>
                <w:szCs w:val="18"/>
              </w:rPr>
            </w:pPr>
            <w:r w:rsidRPr="00586632">
              <w:rPr>
                <w:rFonts w:cstheme="minorHAnsi"/>
                <w:sz w:val="18"/>
                <w:szCs w:val="18"/>
              </w:rPr>
              <w:t xml:space="preserve">Struktura finančních zdrojů pro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4.20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Podpora získávání zahraničních výzkumných projektů (vč. strategie k získávání prestižních </w:t>
            </w:r>
            <w:r w:rsidRPr="00375A49">
              <w:rPr>
                <w:rFonts w:cstheme="minorHAnsi"/>
                <w:sz w:val="18"/>
                <w:szCs w:val="18"/>
              </w:rPr>
              <w:lastRenderedPageBreak/>
              <w:t xml:space="preserve">zahraničních finančních zdrojů pro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601A11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NENÍ RELEVANTNÍ</w:t>
            </w: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lastRenderedPageBreak/>
              <w:t>4.21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Interní a externí systém hodnocení výzkumných jednotek (skupin, týmů, kateder, ústavů)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4.22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Podmínky vzniku nových týmů a zavádění nových výzkumných témat (tzv. start-up strategy)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601A11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4.23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rPr>
                <w:rFonts w:cstheme="minorHAnsi"/>
                <w:sz w:val="18"/>
                <w:szCs w:val="18"/>
              </w:rPr>
            </w:pPr>
            <w:r w:rsidRPr="00306319">
              <w:rPr>
                <w:rFonts w:cstheme="minorHAnsi"/>
                <w:sz w:val="18"/>
                <w:szCs w:val="18"/>
              </w:rPr>
              <w:t xml:space="preserve">Externí poradní orgány pro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06319">
              <w:rPr>
                <w:rFonts w:cstheme="minorHAnsi"/>
                <w:sz w:val="18"/>
                <w:szCs w:val="18"/>
              </w:rPr>
              <w:t xml:space="preserve">, nezávislá zpětná vazba pro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4.24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534EA1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Systém pořizování a obnovy přístrojů a vybavení pro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4.25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Systém sdílení přístrojů a vybavení pro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4.26</w:t>
            </w:r>
          </w:p>
        </w:tc>
        <w:tc>
          <w:tcPr>
            <w:tcW w:w="69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Vnitřní pravidla a opatření pro udržování dobré praxe ve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(např. Code of Conduct for Research Integrity, Ethical Issues)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4.27</w:t>
            </w:r>
          </w:p>
        </w:tc>
        <w:tc>
          <w:tcPr>
            <w:tcW w:w="6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Strategie otevřeného přístupu k informacím z 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(Open Access)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4.28</w:t>
            </w:r>
          </w:p>
        </w:tc>
        <w:tc>
          <w:tcPr>
            <w:tcW w:w="69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Strategie správy výzkumných dat (Data Management)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534EA1" w:rsidRPr="00375A49" w:rsidRDefault="00534EA1" w:rsidP="00BC3ACE">
      <w:pPr>
        <w:pStyle w:val="Textpoznpodarou"/>
        <w:rPr>
          <w:lang w:val="cs-CZ"/>
        </w:rPr>
      </w:pPr>
    </w:p>
    <w:p w:rsidR="00BC3ACE" w:rsidRPr="00375A49" w:rsidRDefault="00BC3ACE" w:rsidP="00BC3ACE">
      <w:pPr>
        <w:pStyle w:val="Nzev"/>
        <w:outlineLvl w:val="9"/>
      </w:pPr>
      <w:r w:rsidRPr="00375A49">
        <w:t xml:space="preserve">Bodové hodnocení každého kritéria se následně doplní o slovní hodnocení vč. nepovinného doporučení. </w:t>
      </w:r>
    </w:p>
    <w:p w:rsidR="00BC3ACE" w:rsidRPr="00375A49" w:rsidRDefault="00BC3ACE" w:rsidP="00BC3ACE">
      <w:pPr>
        <w:pStyle w:val="Nzev"/>
        <w:outlineLvl w:val="9"/>
      </w:pPr>
      <w:r w:rsidRPr="00AE4274">
        <w:t xml:space="preserve">Celkové </w:t>
      </w:r>
      <w:r w:rsidRPr="00375A49">
        <w:t>hodnocení v</w:t>
      </w:r>
      <w:r>
        <w:t xml:space="preserve"> modulu </w:t>
      </w:r>
      <w:r w:rsidRPr="00375A49">
        <w:t xml:space="preserve">M4 se </w:t>
      </w:r>
      <w:r w:rsidR="00534EA1">
        <w:t>stanoví</w:t>
      </w:r>
      <w:r w:rsidRPr="00375A49">
        <w:t xml:space="preserve"> pomocí stupnice hodnocení (viz tab.  5).</w:t>
      </w:r>
    </w:p>
    <w:p w:rsidR="00BC3ACE" w:rsidRPr="00375A49" w:rsidRDefault="00BC3ACE" w:rsidP="00BC3ACE">
      <w:pPr>
        <w:pStyle w:val="Nzev"/>
        <w:outlineLvl w:val="9"/>
      </w:pPr>
      <w:r w:rsidRPr="00375A49">
        <w:t>Tabulka 5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363697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STUPNICE HODNOCENÍ</w:t>
            </w:r>
          </w:p>
          <w:p w:rsidR="00BC3ACE" w:rsidRPr="00375A49" w:rsidRDefault="003B0F96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 99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01A1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BC3ACE" w:rsidRPr="00375A49" w:rsidRDefault="0048637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78</w:t>
            </w:r>
            <w:r w:rsidR="00435530">
              <w:rPr>
                <w:rFonts w:asciiTheme="minorHAnsi" w:hAnsiTheme="minorHAnsi" w:cstheme="minorHAnsi"/>
                <w:sz w:val="18"/>
                <w:szCs w:val="18"/>
              </w:rPr>
              <w:t>–99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48637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56–77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48637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34–55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48637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12–33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BC3ACE" w:rsidRPr="00375A49" w:rsidRDefault="0048637E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0–11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913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BC3ACE" w:rsidRPr="00375A49" w:rsidRDefault="00BC3ACE" w:rsidP="00BC3ACE">
      <w:pPr>
        <w:rPr>
          <w:rFonts w:cstheme="minorHAnsi"/>
          <w:b/>
          <w:sz w:val="30"/>
          <w:szCs w:val="30"/>
          <w:lang w:val="cs-CZ"/>
        </w:rPr>
      </w:pPr>
    </w:p>
    <w:p w:rsidR="00BC3ACE" w:rsidRPr="00375A49" w:rsidRDefault="00BC3ACE" w:rsidP="00BC3ACE">
      <w:pPr>
        <w:rPr>
          <w:rFonts w:cstheme="minorHAnsi"/>
          <w:b/>
          <w:sz w:val="30"/>
          <w:szCs w:val="30"/>
          <w:lang w:val="cs-CZ"/>
        </w:rPr>
      </w:pPr>
      <w:r w:rsidRPr="00375A49">
        <w:rPr>
          <w:rFonts w:cstheme="minorHAnsi"/>
          <w:b/>
          <w:sz w:val="30"/>
          <w:szCs w:val="30"/>
          <w:lang w:val="cs-CZ"/>
        </w:rPr>
        <w:br w:type="page"/>
      </w:r>
    </w:p>
    <w:p w:rsidR="0048637E" w:rsidRDefault="00BC3ACE" w:rsidP="00AA23A9">
      <w:pPr>
        <w:pStyle w:val="Nadpis3"/>
      </w:pPr>
      <w:bookmarkStart w:id="197" w:name="_Toc6493960"/>
      <w:bookmarkStart w:id="198" w:name="_Toc7772778"/>
      <w:bookmarkStart w:id="199" w:name="_Toc11664148"/>
      <w:r w:rsidRPr="00375A49">
        <w:lastRenderedPageBreak/>
        <w:t>BODOVÉ HODNOCENÍ MODULU M5</w:t>
      </w:r>
      <w:bookmarkEnd w:id="197"/>
      <w:bookmarkEnd w:id="198"/>
      <w:bookmarkEnd w:id="199"/>
    </w:p>
    <w:p w:rsidR="00AA23A9" w:rsidRPr="00AA23A9" w:rsidRDefault="00AA23A9" w:rsidP="00AA23A9"/>
    <w:p w:rsidR="0048637E" w:rsidRPr="00375A49" w:rsidRDefault="0048637E" w:rsidP="0048637E">
      <w:pPr>
        <w:pStyle w:val="Nzev"/>
        <w:outlineLvl w:val="9"/>
      </w:pPr>
      <w:r w:rsidRPr="00375A49">
        <w:t>Hodnocenou jednotkou v</w:t>
      </w:r>
      <w:r>
        <w:t xml:space="preserve"> modulu </w:t>
      </w:r>
      <w:r w:rsidRPr="00375A49">
        <w:t xml:space="preserve">M5 je </w:t>
      </w:r>
      <w:r>
        <w:t xml:space="preserve">státní </w:t>
      </w:r>
      <w:r w:rsidRPr="00375A49">
        <w:t xml:space="preserve">vysoká škola </w:t>
      </w:r>
      <w:r>
        <w:t xml:space="preserve">policejní </w:t>
      </w:r>
      <w:r w:rsidRPr="00375A49">
        <w:t>jako celek. Hodnocení sleduje, zda má vysoká škola stanovenou strategii a koncepci a jaký je její přínos k naplňování odvětvových, případně národních strategických dokumentů (politik, akčních plánů, priorit apod.). Hodnoceno je jak předchozí období, tak především předpoklad budoucího vývoje.</w:t>
      </w:r>
    </w:p>
    <w:p w:rsidR="0048637E" w:rsidRPr="00375A49" w:rsidRDefault="0048637E" w:rsidP="0048637E">
      <w:pPr>
        <w:pStyle w:val="Nzev"/>
        <w:outlineLvl w:val="9"/>
      </w:pPr>
      <w:r w:rsidRPr="00375A49">
        <w:t>V</w:t>
      </w:r>
      <w:r>
        <w:t xml:space="preserve"> modulu </w:t>
      </w:r>
      <w:r w:rsidRPr="00375A49">
        <w:t>M5 není pro míru společenského významu jednotlivých kritérií zohledněna kalibrace.</w:t>
      </w:r>
    </w:p>
    <w:p w:rsidR="0048637E" w:rsidRPr="00375A49" w:rsidRDefault="0048637E" w:rsidP="0048637E">
      <w:pPr>
        <w:pStyle w:val="Nzev"/>
        <w:outlineLvl w:val="9"/>
      </w:pPr>
      <w:r w:rsidRPr="00375A49">
        <w:t xml:space="preserve">Kvantitativní hodnocení </w:t>
      </w:r>
      <w:r>
        <w:t xml:space="preserve">modulu </w:t>
      </w:r>
      <w:r w:rsidRPr="00375A49">
        <w:t xml:space="preserve">M5 vychází z bodového hodnocení </w:t>
      </w:r>
      <w:r>
        <w:t>4</w:t>
      </w:r>
      <w:r w:rsidRPr="00375A49">
        <w:t xml:space="preserve"> kritérií. </w:t>
      </w:r>
      <w:r>
        <w:t>Každé kritérium (kromě nerelevantních) je ohodnoceno body v rozmezí 0 – 5 určující jednotlivé stupně hodnocení</w:t>
      </w:r>
      <w:r w:rsidRPr="00282A5F" w:rsidDel="00DA49E5">
        <w:t xml:space="preserve"> </w:t>
      </w:r>
      <w:r w:rsidRPr="00282A5F">
        <w:t xml:space="preserve">(viz tab.  </w:t>
      </w:r>
      <w:r>
        <w:t>6</w:t>
      </w:r>
      <w:r w:rsidRPr="00282A5F">
        <w:t>). Maximáln</w:t>
      </w:r>
      <w:r>
        <w:t>í</w:t>
      </w:r>
      <w:r w:rsidRPr="00282A5F">
        <w:t xml:space="preserve"> </w:t>
      </w:r>
      <w:r>
        <w:t xml:space="preserve">bodové ohodnocení </w:t>
      </w:r>
      <w:r w:rsidRPr="00282A5F">
        <w:t xml:space="preserve">je </w:t>
      </w:r>
      <w:r>
        <w:t>20</w:t>
      </w:r>
      <w:r w:rsidRPr="00282A5F">
        <w:t xml:space="preserve"> bodů.</w:t>
      </w:r>
    </w:p>
    <w:p w:rsidR="00BC3ACE" w:rsidRPr="00375A49" w:rsidRDefault="00BC3ACE" w:rsidP="00BC3ACE">
      <w:pPr>
        <w:pStyle w:val="Nzev"/>
        <w:outlineLvl w:val="9"/>
        <w:rPr>
          <w:b/>
        </w:rPr>
      </w:pPr>
      <w:r w:rsidRPr="00375A49">
        <w:t>Tabulka 6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363697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STUPNĚ HODNOCENÍ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>5 bodů</w:t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01A1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 body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bod</w:t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BC3ACE" w:rsidRPr="00375A49" w:rsidRDefault="00BC3ACE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bodů</w:t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913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BC3ACE" w:rsidRPr="00375A49" w:rsidRDefault="00BC3ACE" w:rsidP="00BC3ACE">
      <w:pPr>
        <w:jc w:val="both"/>
        <w:rPr>
          <w:b/>
          <w:lang w:val="cs-CZ"/>
        </w:rPr>
      </w:pPr>
    </w:p>
    <w:p w:rsidR="00BC3ACE" w:rsidRPr="00375A49" w:rsidRDefault="00BC3ACE" w:rsidP="00BC3ACE">
      <w:pPr>
        <w:pStyle w:val="Nzev"/>
        <w:outlineLvl w:val="9"/>
      </w:pPr>
      <w:r w:rsidRPr="00375A49">
        <w:t xml:space="preserve">Jednotlivá hodnoticí kritéria v rámci </w:t>
      </w:r>
      <w:r>
        <w:t xml:space="preserve">modulu </w:t>
      </w:r>
      <w:r w:rsidRPr="00375A49">
        <w:t xml:space="preserve">M5 pro </w:t>
      </w:r>
      <w:r>
        <w:t xml:space="preserve">státní </w:t>
      </w:r>
      <w:r w:rsidRPr="00375A49">
        <w:t>vysoké školy</w:t>
      </w:r>
      <w:r>
        <w:t xml:space="preserve"> </w:t>
      </w:r>
      <w:r w:rsidRPr="00375A49">
        <w:t>policejní znázorňuje tab. 7.</w:t>
      </w:r>
    </w:p>
    <w:p w:rsidR="00BC3ACE" w:rsidRPr="00375A49" w:rsidRDefault="00BC3ACE" w:rsidP="00BC3ACE">
      <w:pPr>
        <w:pStyle w:val="Nzev"/>
        <w:outlineLvl w:val="9"/>
      </w:pPr>
      <w:r w:rsidRPr="00375A49">
        <w:t>Tabulka 7</w:t>
      </w:r>
    </w:p>
    <w:tbl>
      <w:tblPr>
        <w:tblStyle w:val="Mkatabulky"/>
        <w:tblW w:w="9222" w:type="dxa"/>
        <w:tblInd w:w="-23" w:type="dxa"/>
        <w:tblLayout w:type="fixed"/>
        <w:tblLook w:val="04A0"/>
      </w:tblPr>
      <w:tblGrid>
        <w:gridCol w:w="667"/>
        <w:gridCol w:w="6996"/>
        <w:gridCol w:w="1559"/>
      </w:tblGrid>
      <w:tr w:rsidR="00BC3ACE" w:rsidRPr="00375A49" w:rsidTr="00363697">
        <w:trPr>
          <w:cantSplit/>
          <w:trHeight w:val="296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5A49">
              <w:rPr>
                <w:rFonts w:cstheme="minorHAnsi"/>
                <w:b/>
                <w:sz w:val="18"/>
                <w:szCs w:val="18"/>
              </w:rPr>
              <w:br w:type="page"/>
              <w:t>KRITÉRIA</w:t>
            </w:r>
          </w:p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3ACE" w:rsidRPr="00375A49" w:rsidRDefault="00BC3ACE" w:rsidP="00363697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5A49">
              <w:rPr>
                <w:rFonts w:cstheme="minorHAnsi"/>
                <w:b/>
                <w:sz w:val="20"/>
                <w:szCs w:val="20"/>
              </w:rPr>
              <w:t>POLICEJNÍ VYSOKÉ ŠKOLY</w:t>
            </w: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5.1</w:t>
            </w:r>
          </w:p>
        </w:tc>
        <w:tc>
          <w:tcPr>
            <w:tcW w:w="69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Mise a vize hodnocené instituce ve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5.2</w:t>
            </w:r>
          </w:p>
        </w:tc>
        <w:tc>
          <w:tcPr>
            <w:tcW w:w="69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Výzkumné cíle a strategie pro období do dalšího hodnocení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5.3</w:t>
            </w:r>
          </w:p>
        </w:tc>
        <w:tc>
          <w:tcPr>
            <w:tcW w:w="69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Vazba na plnění vyšších národních a nadnárodních strategických cílů a opatření v oblasti </w:t>
            </w:r>
            <w:r>
              <w:rPr>
                <w:rFonts w:cstheme="minorHAnsi"/>
                <w:sz w:val="18"/>
                <w:szCs w:val="18"/>
              </w:rPr>
              <w:t>VaVaI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B2259" w:rsidRPr="00375A49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5.4</w:t>
            </w:r>
          </w:p>
        </w:tc>
        <w:tc>
          <w:tcPr>
            <w:tcW w:w="69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914D56">
              <w:rPr>
                <w:rFonts w:cstheme="minorHAnsi"/>
                <w:sz w:val="18"/>
                <w:szCs w:val="18"/>
              </w:rPr>
              <w:t>Strategie a nástroje strategického řízení pro zvyšování mezinárodní nebo oborové konkurenceschopnosti výzkumné činnosti vysoké školy a její kvality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D1283" w:rsidRPr="00375A49" w:rsidRDefault="003D1283" w:rsidP="0066269C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NENÍ RELEVANTNÍ</w:t>
            </w:r>
          </w:p>
        </w:tc>
      </w:tr>
      <w:tr w:rsidR="007B2259" w:rsidRPr="0099636E" w:rsidTr="00363697">
        <w:trPr>
          <w:trHeight w:val="340"/>
        </w:trPr>
        <w:tc>
          <w:tcPr>
            <w:tcW w:w="6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>5.5</w:t>
            </w:r>
          </w:p>
        </w:tc>
        <w:tc>
          <w:tcPr>
            <w:tcW w:w="69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rPr>
                <w:rFonts w:cstheme="minorHAnsi"/>
                <w:sz w:val="18"/>
                <w:szCs w:val="18"/>
              </w:rPr>
            </w:pPr>
            <w:r w:rsidRPr="00375A49">
              <w:rPr>
                <w:rFonts w:cstheme="minorHAnsi"/>
                <w:sz w:val="18"/>
                <w:szCs w:val="18"/>
              </w:rPr>
              <w:t xml:space="preserve">Institucionální nástroje pro naplňování výzkumné strategie s důrazem na podporu kvalitního </w:t>
            </w:r>
            <w:r>
              <w:rPr>
                <w:rFonts w:cstheme="minorHAnsi"/>
                <w:sz w:val="18"/>
                <w:szCs w:val="18"/>
              </w:rPr>
              <w:t>VaVaI</w:t>
            </w:r>
            <w:r w:rsidRPr="00375A49">
              <w:rPr>
                <w:rFonts w:cstheme="minorHAnsi"/>
                <w:sz w:val="18"/>
                <w:szCs w:val="18"/>
              </w:rPr>
              <w:t xml:space="preserve"> a inovativního prostředí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2259" w:rsidRPr="00375A49" w:rsidRDefault="007B2259" w:rsidP="007B2259">
            <w:pPr>
              <w:shd w:val="clear" w:color="auto" w:fill="F2F2F2" w:themeFill="background1" w:themeFillShade="F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C3ACE" w:rsidRPr="00375A49" w:rsidRDefault="00BC3ACE" w:rsidP="00BC3ACE">
      <w:pPr>
        <w:rPr>
          <w:lang w:val="cs-CZ" w:eastAsia="cs-CZ"/>
        </w:rPr>
      </w:pPr>
    </w:p>
    <w:p w:rsidR="00BC3ACE" w:rsidRPr="00375A49" w:rsidRDefault="00BC3ACE" w:rsidP="00BC3ACE">
      <w:pPr>
        <w:pStyle w:val="Nzev"/>
        <w:outlineLvl w:val="9"/>
      </w:pPr>
      <w:r w:rsidRPr="00375A49">
        <w:t xml:space="preserve">Bodové hodnocení každého kritéria se následně doplní o slovní hodnocení vč. nepovinného doporučení. </w:t>
      </w:r>
    </w:p>
    <w:p w:rsidR="00BC3ACE" w:rsidRPr="00375A49" w:rsidRDefault="00BC3ACE" w:rsidP="00BC3ACE">
      <w:pPr>
        <w:pStyle w:val="Nzev"/>
        <w:outlineLvl w:val="9"/>
      </w:pPr>
      <w:r w:rsidRPr="00AE4274">
        <w:t xml:space="preserve">Celkové </w:t>
      </w:r>
      <w:r w:rsidRPr="00375A49">
        <w:t>hodnocení v</w:t>
      </w:r>
      <w:r>
        <w:t xml:space="preserve"> modulu </w:t>
      </w:r>
      <w:r w:rsidRPr="00375A49">
        <w:t xml:space="preserve">M5 se </w:t>
      </w:r>
      <w:r w:rsidR="00135ACB">
        <w:t>stanoví</w:t>
      </w:r>
      <w:r w:rsidRPr="00375A49">
        <w:t xml:space="preserve"> pomocí stupnice hodnocení (viz tab. 8).</w:t>
      </w:r>
    </w:p>
    <w:p w:rsidR="00BC3ACE" w:rsidRPr="00375A49" w:rsidRDefault="00BC3ACE" w:rsidP="00BC3ACE">
      <w:pPr>
        <w:pStyle w:val="Nzev"/>
        <w:outlineLvl w:val="9"/>
      </w:pPr>
      <w:r w:rsidRPr="00375A49">
        <w:t>Tabulka 8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9214"/>
      </w:tblGrid>
      <w:tr w:rsidR="00BC3ACE" w:rsidRPr="00375A49" w:rsidTr="00363697">
        <w:trPr>
          <w:cantSplit/>
          <w:trHeight w:val="296"/>
        </w:trPr>
        <w:tc>
          <w:tcPr>
            <w:tcW w:w="9214" w:type="dxa"/>
            <w:shd w:val="clear" w:color="auto" w:fill="F2F2F2" w:themeFill="background1" w:themeFillShade="F2"/>
          </w:tcPr>
          <w:p w:rsidR="00BC3ACE" w:rsidRPr="00375A49" w:rsidRDefault="00BC3ACE" w:rsidP="00363697">
            <w:pPr>
              <w:rPr>
                <w:rFonts w:cstheme="minorHAnsi"/>
                <w:b/>
                <w:sz w:val="20"/>
                <w:szCs w:val="20"/>
              </w:rPr>
            </w:pPr>
            <w:r w:rsidRPr="00375A49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</w:t>
            </w:r>
            <w:r w:rsidRPr="00375A49">
              <w:rPr>
                <w:rFonts w:cstheme="minorHAnsi"/>
                <w:b/>
                <w:sz w:val="20"/>
                <w:szCs w:val="20"/>
              </w:rPr>
              <w:t>STUPNICE HODNOCENÍ</w:t>
            </w:r>
          </w:p>
          <w:p w:rsidR="00BC3ACE" w:rsidRPr="00375A49" w:rsidRDefault="0048637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 18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6269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BC3ACE" w:rsidRPr="00375A49" w:rsidRDefault="0048637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15–18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48637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>–14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48637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7–10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375A49" w:rsidRDefault="0048637E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3–6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  <w:t xml:space="preserve">                  </w:t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BC3ACE" w:rsidRPr="00375A49" w:rsidRDefault="0048637E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0–2</w:t>
            </w:r>
            <w:r w:rsidR="00BC3ACE" w:rsidRPr="00375A49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BC3ACE" w:rsidRPr="00375A49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913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BC3ACE" w:rsidRPr="00375A49" w:rsidRDefault="00BC3ACE" w:rsidP="00BC3ACE">
      <w:pPr>
        <w:jc w:val="both"/>
        <w:rPr>
          <w:b/>
          <w:lang w:val="cs-CZ"/>
        </w:rPr>
      </w:pPr>
    </w:p>
    <w:p w:rsidR="00BC3ACE" w:rsidRPr="00375A49" w:rsidRDefault="00BC3ACE" w:rsidP="00BC3ACE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BC3ACE" w:rsidRPr="00B570E3" w:rsidRDefault="00BC3ACE" w:rsidP="00EC0B12">
      <w:pPr>
        <w:pStyle w:val="Nadpis3"/>
      </w:pPr>
      <w:bookmarkStart w:id="200" w:name="_Toc7772779"/>
      <w:bookmarkStart w:id="201" w:name="_Toc11664149"/>
      <w:r w:rsidRPr="00B570E3">
        <w:lastRenderedPageBreak/>
        <w:t>SYNTÉZA MODULŮ M4 A M5</w:t>
      </w:r>
      <w:bookmarkEnd w:id="200"/>
      <w:bookmarkEnd w:id="201"/>
    </w:p>
    <w:p w:rsidR="00BC3ACE" w:rsidRPr="00C117B1" w:rsidRDefault="00BC3ACE" w:rsidP="001F4432">
      <w:pPr>
        <w:pStyle w:val="W3MUZkonParagrafNzev"/>
        <w:shd w:val="clear" w:color="auto" w:fill="FFFFFF" w:themeFill="background1"/>
        <w:tabs>
          <w:tab w:val="num" w:pos="0"/>
        </w:tabs>
        <w:spacing w:before="0" w:after="120"/>
        <w:rPr>
          <w:color w:val="auto"/>
          <w:sz w:val="18"/>
          <w:szCs w:val="18"/>
        </w:rPr>
      </w:pPr>
    </w:p>
    <w:p w:rsidR="00BC3ACE" w:rsidRPr="00B570E3" w:rsidRDefault="00BC3ACE" w:rsidP="001F4432">
      <w:pPr>
        <w:shd w:val="clear" w:color="auto" w:fill="FFFFFF" w:themeFill="background1"/>
        <w:jc w:val="both"/>
        <w:rPr>
          <w:rFonts w:cstheme="minorHAnsi"/>
          <w:lang w:val="cs-CZ"/>
        </w:rPr>
      </w:pPr>
      <w:r w:rsidRPr="006B3618">
        <w:rPr>
          <w:rFonts w:cstheme="minorHAnsi"/>
          <w:lang w:val="cs-CZ"/>
        </w:rPr>
        <w:t>Moduly M4 a M5 představují jednotný organický celek, protož</w:t>
      </w:r>
      <w:r w:rsidRPr="00B570E3">
        <w:rPr>
          <w:rFonts w:cstheme="minorHAnsi"/>
          <w:lang w:val="cs-CZ"/>
        </w:rPr>
        <w:t>e tvoří logickou koncepční jednotku</w:t>
      </w:r>
      <w:r w:rsidR="00D9314A">
        <w:rPr>
          <w:rFonts w:cstheme="minorHAnsi"/>
          <w:lang w:val="cs-CZ"/>
        </w:rPr>
        <w:t>. Na modul M4, který představuje</w:t>
      </w:r>
      <w:r w:rsidRPr="00B570E3">
        <w:rPr>
          <w:rFonts w:cstheme="minorHAnsi"/>
          <w:lang w:val="cs-CZ"/>
        </w:rPr>
        <w:t xml:space="preserve"> retrospektivní data, navazuje modul M5 SWOT analýzou s projekcí do nastavení hlavního cíle, vize v souladu s misí vysoké školy a tvorby strategie a koncepce. Z tohoto důvodu bude i struktura sebeevaluační zprávy pro moduly M4 a M5 tvořit jeden celek.</w:t>
      </w:r>
    </w:p>
    <w:p w:rsidR="00BC3ACE" w:rsidRPr="00B570E3" w:rsidRDefault="00BC3ACE" w:rsidP="001F4432">
      <w:pPr>
        <w:shd w:val="clear" w:color="auto" w:fill="FFFFFF" w:themeFill="background1"/>
        <w:jc w:val="both"/>
        <w:rPr>
          <w:rFonts w:cstheme="minorHAnsi"/>
          <w:lang w:val="cs-CZ"/>
        </w:rPr>
      </w:pPr>
    </w:p>
    <w:p w:rsidR="00756AB0" w:rsidRPr="00B570E3" w:rsidRDefault="00756AB0" w:rsidP="00756AB0">
      <w:pPr>
        <w:pStyle w:val="Nzev"/>
        <w:shd w:val="clear" w:color="auto" w:fill="FFFFFF" w:themeFill="background1"/>
        <w:outlineLvl w:val="9"/>
      </w:pPr>
      <w:r w:rsidRPr="00B570E3">
        <w:t xml:space="preserve">Celkové kvantitativní hodnocení modulů M4 a M5 je součtem bodového hodnocení </w:t>
      </w:r>
      <w:r>
        <w:t>22</w:t>
      </w:r>
      <w:r w:rsidRPr="00B570E3">
        <w:t xml:space="preserve"> kritérií z modulu M4 a bodového hodnocení 4 kritérií z modulu M5 a stanoví se pomocí stupnice celkového hodnocení (viz tab. </w:t>
      </w:r>
      <w:r>
        <w:t>9</w:t>
      </w:r>
      <w:r w:rsidRPr="00B570E3">
        <w:t>). Maximálně dosažitelný počet je 130 bodů.</w:t>
      </w:r>
    </w:p>
    <w:p w:rsidR="00BC3ACE" w:rsidRPr="00B570E3" w:rsidRDefault="00BC3ACE" w:rsidP="001F4432">
      <w:pPr>
        <w:pStyle w:val="Nzev"/>
        <w:shd w:val="clear" w:color="auto" w:fill="FFFFFF" w:themeFill="background1"/>
        <w:outlineLvl w:val="9"/>
      </w:pPr>
      <w:r w:rsidRPr="00B570E3">
        <w:t xml:space="preserve">Tabulka </w:t>
      </w:r>
      <w:r w:rsidR="0077004E">
        <w:t>9</w:t>
      </w:r>
    </w:p>
    <w:tbl>
      <w:tblPr>
        <w:tblStyle w:val="Mkatabulky"/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4A0"/>
      </w:tblPr>
      <w:tblGrid>
        <w:gridCol w:w="9214"/>
      </w:tblGrid>
      <w:tr w:rsidR="00BC3ACE" w:rsidRPr="00375A49" w:rsidTr="001F4432">
        <w:trPr>
          <w:cantSplit/>
          <w:trHeight w:val="296"/>
        </w:trPr>
        <w:tc>
          <w:tcPr>
            <w:tcW w:w="9214" w:type="dxa"/>
            <w:shd w:val="clear" w:color="auto" w:fill="FFFFFF" w:themeFill="background1"/>
          </w:tcPr>
          <w:p w:rsidR="00BC3ACE" w:rsidRPr="00B570E3" w:rsidRDefault="00BC3ACE" w:rsidP="00363697">
            <w:pPr>
              <w:rPr>
                <w:rFonts w:cstheme="minorHAnsi"/>
                <w:b/>
                <w:sz w:val="20"/>
                <w:szCs w:val="20"/>
              </w:rPr>
            </w:pPr>
            <w:r w:rsidRPr="00B570E3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</w:t>
            </w:r>
            <w:r w:rsidRPr="00B570E3">
              <w:rPr>
                <w:rFonts w:cstheme="minorHAnsi"/>
                <w:b/>
                <w:sz w:val="20"/>
                <w:szCs w:val="20"/>
              </w:rPr>
              <w:t>STUPNICE CELKOVÉHO HODNOCENÍ M4 A M5</w:t>
            </w:r>
          </w:p>
          <w:p w:rsidR="00BC3ACE" w:rsidRPr="00B570E3" w:rsidRDefault="00756AB0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 117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6269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Vynikající</w:t>
            </w:r>
          </w:p>
          <w:p w:rsidR="00BC3ACE" w:rsidRPr="00B570E3" w:rsidRDefault="00756AB0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92–117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Velmi dobrý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B570E3" w:rsidRDefault="00756AB0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66–91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F117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Dobrý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B570E3" w:rsidRDefault="00756AB0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40–65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Průměrný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  <w:p w:rsidR="00BC3ACE" w:rsidRPr="00B570E3" w:rsidRDefault="00756AB0" w:rsidP="00363697">
            <w:pPr>
              <w:pStyle w:val="W3MUZkonOdstavecslovan"/>
              <w:spacing w:after="0"/>
              <w:jc w:val="both"/>
              <w:outlineLvl w:val="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14–39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="00CC3C1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Podprůměrný</w:t>
            </w:r>
          </w:p>
          <w:p w:rsidR="00BC3ACE" w:rsidRPr="00375A49" w:rsidRDefault="00756AB0" w:rsidP="00363697">
            <w:pPr>
              <w:pStyle w:val="W3MUZkonOdstavecslovan"/>
              <w:spacing w:after="0"/>
              <w:jc w:val="both"/>
              <w:outlineLvl w:val="9"/>
              <w:rPr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0–13</w:t>
            </w:r>
            <w:r w:rsidR="00BC3ACE" w:rsidRPr="00B570E3">
              <w:rPr>
                <w:rFonts w:asciiTheme="minorHAnsi" w:hAnsiTheme="minorHAnsi" w:cstheme="minorHAnsi"/>
                <w:sz w:val="18"/>
                <w:szCs w:val="18"/>
              </w:rPr>
              <w:t xml:space="preserve"> bodů</w:t>
            </w:r>
            <w:r w:rsidR="00BC3ACE" w:rsidRPr="00B570E3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BC3ACE" w:rsidRPr="00B570E3">
              <w:rPr>
                <w:rFonts w:cstheme="minorHAnsi"/>
                <w:sz w:val="18"/>
                <w:szCs w:val="18"/>
                <w:lang w:val="en-US"/>
              </w:rPr>
              <w:tab/>
            </w:r>
            <w:r w:rsidR="009134F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Nedostatečný</w:t>
            </w:r>
          </w:p>
        </w:tc>
      </w:tr>
    </w:tbl>
    <w:p w:rsidR="00BC3ACE" w:rsidRPr="00375A49" w:rsidRDefault="00BC3ACE" w:rsidP="00BC3ACE">
      <w:pPr>
        <w:rPr>
          <w:rFonts w:cstheme="minorHAnsi"/>
          <w:b/>
          <w:sz w:val="30"/>
          <w:szCs w:val="30"/>
          <w:lang w:val="cs-CZ"/>
        </w:rPr>
      </w:pPr>
    </w:p>
    <w:p w:rsidR="007E7638" w:rsidRPr="00375A49" w:rsidRDefault="007E7638" w:rsidP="007E7638">
      <w:pPr>
        <w:rPr>
          <w:rFonts w:cstheme="minorHAnsi"/>
          <w:b/>
          <w:sz w:val="30"/>
          <w:szCs w:val="30"/>
          <w:lang w:val="cs-CZ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267AC0" w:rsidRDefault="00267AC0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267AC0" w:rsidRDefault="00267AC0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267AC0" w:rsidRDefault="00267AC0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267AC0" w:rsidRDefault="00267AC0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267AC0" w:rsidRDefault="00267AC0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267AC0" w:rsidRDefault="00267AC0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267AC0" w:rsidRDefault="00267AC0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267AC0" w:rsidRDefault="00267AC0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Pr="00375A49" w:rsidRDefault="00D8229A" w:rsidP="00375A49">
      <w:pPr>
        <w:spacing w:line="24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D8229A" w:rsidRPr="00374F1B" w:rsidRDefault="00D8229A" w:rsidP="00B85213">
      <w:pPr>
        <w:pStyle w:val="Nadpis1"/>
      </w:pPr>
      <w:bookmarkStart w:id="202" w:name="_Toc7772780"/>
      <w:bookmarkStart w:id="203" w:name="_Toc11664150"/>
      <w:bookmarkStart w:id="204" w:name="_Toc472419952"/>
      <w:bookmarkStart w:id="205" w:name="_Toc5133492"/>
      <w:r>
        <w:lastRenderedPageBreak/>
        <w:t xml:space="preserve">ČÁST </w:t>
      </w:r>
      <w:r w:rsidR="00997E0C">
        <w:t>I</w:t>
      </w:r>
      <w:r>
        <w:t>V</w:t>
      </w:r>
      <w:bookmarkEnd w:id="202"/>
      <w:bookmarkEnd w:id="203"/>
    </w:p>
    <w:p w:rsidR="00267AC0" w:rsidRDefault="00267AC0" w:rsidP="00D8229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theme="minorHAnsi"/>
          <w:b/>
          <w:bCs/>
          <w:lang w:val="cs-CZ"/>
        </w:rPr>
      </w:pPr>
    </w:p>
    <w:p w:rsidR="00B323B7" w:rsidRPr="00B323B7" w:rsidRDefault="00B323B7" w:rsidP="00B323B7">
      <w:pPr>
        <w:pStyle w:val="Odstavecseseznamem"/>
        <w:keepNext/>
        <w:keepLines/>
        <w:numPr>
          <w:ilvl w:val="0"/>
          <w:numId w:val="14"/>
        </w:numPr>
        <w:spacing w:before="200" w:line="276" w:lineRule="auto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26"/>
          <w:lang w:val="cs-CZ"/>
        </w:rPr>
      </w:pPr>
      <w:bookmarkStart w:id="206" w:name="_Toc7773356"/>
      <w:bookmarkStart w:id="207" w:name="_Toc7773395"/>
      <w:bookmarkStart w:id="208" w:name="_Toc9404022"/>
      <w:bookmarkStart w:id="209" w:name="_Toc9404520"/>
      <w:bookmarkStart w:id="210" w:name="_Toc9404732"/>
      <w:bookmarkStart w:id="211" w:name="_Toc9420196"/>
      <w:bookmarkStart w:id="212" w:name="_Toc11405448"/>
      <w:bookmarkStart w:id="213" w:name="_Toc11408560"/>
      <w:bookmarkStart w:id="214" w:name="_Toc11408715"/>
      <w:bookmarkStart w:id="215" w:name="_Toc11663822"/>
      <w:bookmarkStart w:id="216" w:name="_Toc11663866"/>
      <w:bookmarkStart w:id="217" w:name="_Toc11663904"/>
      <w:bookmarkStart w:id="218" w:name="_Toc11663942"/>
      <w:bookmarkStart w:id="219" w:name="_Toc11664151"/>
      <w:bookmarkStart w:id="220" w:name="_Toc7772781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:rsidR="00267AC0" w:rsidRPr="00D8229A" w:rsidRDefault="00267AC0" w:rsidP="00B323B7">
      <w:pPr>
        <w:pStyle w:val="Nadpis2"/>
        <w:numPr>
          <w:ilvl w:val="1"/>
          <w:numId w:val="14"/>
        </w:numPr>
      </w:pPr>
      <w:bookmarkStart w:id="221" w:name="_Toc11664152"/>
      <w:r w:rsidRPr="00D8229A">
        <w:t>PROCES HODNOCENÍ</w:t>
      </w:r>
      <w:bookmarkEnd w:id="220"/>
      <w:bookmarkEnd w:id="221"/>
    </w:p>
    <w:p w:rsidR="00267AC0" w:rsidRPr="00375A49" w:rsidRDefault="00267AC0" w:rsidP="00267AC0">
      <w:pPr>
        <w:rPr>
          <w:rFonts w:cstheme="minorHAnsi"/>
          <w:lang w:val="cs-CZ"/>
        </w:rPr>
      </w:pPr>
    </w:p>
    <w:p w:rsidR="00267AC0" w:rsidRPr="00490FC3" w:rsidRDefault="00267AC0" w:rsidP="00267AC0">
      <w:pPr>
        <w:jc w:val="both"/>
        <w:rPr>
          <w:rFonts w:cstheme="minorHAnsi"/>
          <w:lang w:val="cs-CZ"/>
        </w:rPr>
      </w:pPr>
      <w:r w:rsidRPr="00600585">
        <w:rPr>
          <w:rFonts w:cstheme="minorHAnsi"/>
          <w:lang w:val="cs-CZ"/>
        </w:rPr>
        <w:t>Všechny vysoké školy vstupující do hodnocení budou hodnoceny v souladu s jednotnými postupy platnými pro segment vysokých škol.</w:t>
      </w:r>
      <w:r>
        <w:rPr>
          <w:rFonts w:cstheme="minorHAnsi"/>
          <w:lang w:val="cs-CZ"/>
        </w:rPr>
        <w:t xml:space="preserve"> </w:t>
      </w:r>
      <w:r w:rsidRPr="00E75454">
        <w:rPr>
          <w:rFonts w:cstheme="minorHAnsi"/>
          <w:lang w:val="cs-CZ"/>
        </w:rPr>
        <w:t xml:space="preserve">Hodnocení provádí poskytovatel na základě zprávy </w:t>
      </w:r>
      <w:r w:rsidR="00884C2C">
        <w:rPr>
          <w:rFonts w:cstheme="minorHAnsi"/>
          <w:lang w:val="cs-CZ"/>
        </w:rPr>
        <w:t>mezinárodního evaluačního panelu (dále jen „</w:t>
      </w:r>
      <w:r w:rsidRPr="00E75454">
        <w:rPr>
          <w:rFonts w:cstheme="minorHAnsi"/>
          <w:lang w:val="cs-CZ"/>
        </w:rPr>
        <w:t>MEP</w:t>
      </w:r>
      <w:r w:rsidR="00884C2C">
        <w:rPr>
          <w:rFonts w:cstheme="minorHAnsi"/>
          <w:lang w:val="cs-CZ"/>
        </w:rPr>
        <w:t>“)</w:t>
      </w:r>
      <w:r w:rsidRPr="00E75454">
        <w:rPr>
          <w:rFonts w:cstheme="minorHAnsi"/>
          <w:lang w:val="cs-CZ"/>
        </w:rPr>
        <w:t xml:space="preserve"> a výstupů z hodnocení v modulech M1 a M2 na národní úrovni poskytnutých/zveřejněných Radou pro výzkum, vývoj a inovace.</w:t>
      </w:r>
      <w:r w:rsidRPr="00600585">
        <w:rPr>
          <w:rFonts w:cstheme="minorHAnsi"/>
          <w:lang w:val="cs-CZ"/>
        </w:rPr>
        <w:t xml:space="preserve"> Proces hodnocení sestává z přípravné fáze, během níž </w:t>
      </w:r>
      <w:r>
        <w:rPr>
          <w:rFonts w:cstheme="minorHAnsi"/>
          <w:lang w:val="cs-CZ"/>
        </w:rPr>
        <w:t xml:space="preserve">vysoké školy </w:t>
      </w:r>
      <w:r w:rsidRPr="004C113F">
        <w:rPr>
          <w:rFonts w:cstheme="minorHAnsi"/>
          <w:lang w:val="cs-CZ"/>
        </w:rPr>
        <w:t>vypracují podklady pro hodnocení v souladu s</w:t>
      </w:r>
      <w:r w:rsidR="00C60731">
        <w:rPr>
          <w:rFonts w:cstheme="minorHAnsi"/>
          <w:lang w:val="cs-CZ"/>
        </w:rPr>
        <w:t> </w:t>
      </w:r>
      <w:r w:rsidR="00B570E3">
        <w:rPr>
          <w:rFonts w:cstheme="minorHAnsi"/>
          <w:lang w:val="cs-CZ"/>
        </w:rPr>
        <w:t>popisem</w:t>
      </w:r>
      <w:r w:rsidRPr="004C113F">
        <w:rPr>
          <w:rFonts w:cstheme="minorHAnsi"/>
          <w:lang w:val="cs-CZ"/>
        </w:rPr>
        <w:t xml:space="preserve"> modulů M3-M5 uveden</w:t>
      </w:r>
      <w:r w:rsidR="00B570E3">
        <w:rPr>
          <w:rFonts w:cstheme="minorHAnsi"/>
          <w:lang w:val="cs-CZ"/>
        </w:rPr>
        <w:t>ým</w:t>
      </w:r>
      <w:r w:rsidRPr="004C113F">
        <w:rPr>
          <w:rFonts w:cstheme="minorHAnsi"/>
          <w:lang w:val="cs-CZ"/>
        </w:rPr>
        <w:t xml:space="preserve"> v části </w:t>
      </w:r>
      <w:r w:rsidRPr="00D93EC3">
        <w:rPr>
          <w:rFonts w:cstheme="minorHAnsi"/>
          <w:lang w:val="cs-CZ"/>
        </w:rPr>
        <w:t>II</w:t>
      </w:r>
      <w:r w:rsidRPr="004C113F">
        <w:rPr>
          <w:rFonts w:cstheme="minorHAnsi"/>
          <w:lang w:val="cs-CZ"/>
        </w:rPr>
        <w:t xml:space="preserve"> Metodiky </w:t>
      </w:r>
      <w:r w:rsidR="00A02AA4">
        <w:rPr>
          <w:rFonts w:cstheme="minorHAnsi"/>
          <w:lang w:val="cs-CZ"/>
        </w:rPr>
        <w:t>hodnocení výzkumných organizací v segmentu vysokých škol</w:t>
      </w:r>
      <w:r w:rsidRPr="004C113F">
        <w:rPr>
          <w:rFonts w:cstheme="minorHAnsi"/>
          <w:lang w:val="cs-CZ"/>
        </w:rPr>
        <w:t xml:space="preserve"> (dále jen „</w:t>
      </w:r>
      <w:r w:rsidR="00A02AA4">
        <w:rPr>
          <w:rFonts w:cstheme="minorHAnsi"/>
          <w:lang w:val="cs-CZ"/>
        </w:rPr>
        <w:t>Metodika pro</w:t>
      </w:r>
      <w:r w:rsidRPr="004C113F">
        <w:rPr>
          <w:rFonts w:cstheme="minorHAnsi"/>
          <w:lang w:val="cs-CZ"/>
        </w:rPr>
        <w:t xml:space="preserve"> VŠ“)</w:t>
      </w:r>
      <w:r w:rsidR="00AF6CEF">
        <w:rPr>
          <w:rFonts w:cstheme="minorHAnsi"/>
          <w:lang w:val="cs-CZ"/>
        </w:rPr>
        <w:t>.</w:t>
      </w:r>
      <w:r w:rsidRPr="00600585">
        <w:rPr>
          <w:rFonts w:cstheme="minorHAnsi"/>
          <w:lang w:val="cs-CZ"/>
        </w:rPr>
        <w:t xml:space="preserve"> Další etapou je realizační fáze, ve které</w:t>
      </w:r>
      <w:r w:rsidRPr="00F11DA3">
        <w:rPr>
          <w:lang w:val="cs-CZ"/>
        </w:rPr>
        <w:t xml:space="preserve"> </w:t>
      </w:r>
      <w:r w:rsidRPr="00600585">
        <w:rPr>
          <w:rFonts w:cstheme="minorHAnsi"/>
          <w:lang w:val="cs-CZ"/>
        </w:rPr>
        <w:t xml:space="preserve">jsou vysoké školy zhodnoceny </w:t>
      </w:r>
      <w:r w:rsidR="00EA0705">
        <w:rPr>
          <w:rFonts w:cstheme="minorHAnsi"/>
          <w:lang w:val="cs-CZ"/>
        </w:rPr>
        <w:t>MEP</w:t>
      </w:r>
      <w:r w:rsidRPr="00600585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>a </w:t>
      </w:r>
      <w:r w:rsidRPr="00600585">
        <w:rPr>
          <w:rFonts w:cstheme="minorHAnsi"/>
          <w:lang w:val="cs-CZ"/>
        </w:rPr>
        <w:t>obdrží výsledky hodnocení a zpětnou vazbu</w:t>
      </w:r>
      <w:r>
        <w:rPr>
          <w:rFonts w:cstheme="minorHAnsi"/>
          <w:lang w:val="cs-CZ"/>
        </w:rPr>
        <w:t>.</w:t>
      </w:r>
      <w:r w:rsidR="00AF6CEF">
        <w:rPr>
          <w:rFonts w:cstheme="minorHAnsi"/>
          <w:lang w:val="cs-CZ"/>
        </w:rPr>
        <w:t xml:space="preserve"> V</w:t>
      </w:r>
      <w:r w:rsidR="00AF6CEF" w:rsidRPr="00AF6CEF">
        <w:rPr>
          <w:rFonts w:cstheme="minorHAnsi"/>
          <w:lang w:val="cs-CZ"/>
        </w:rPr>
        <w:t>ysoké školy, které o to požádají</w:t>
      </w:r>
      <w:r w:rsidR="0008358A">
        <w:rPr>
          <w:rFonts w:cstheme="minorHAnsi"/>
          <w:lang w:val="cs-CZ"/>
        </w:rPr>
        <w:t xml:space="preserve"> a splní podmínky</w:t>
      </w:r>
      <w:r w:rsidR="00AF6CEF" w:rsidRPr="00AF6CEF">
        <w:rPr>
          <w:rFonts w:cstheme="minorHAnsi"/>
          <w:lang w:val="cs-CZ"/>
        </w:rPr>
        <w:t>, budou pověřeny organizačním zabezpečením realizace svého hodnocení.</w:t>
      </w:r>
    </w:p>
    <w:p w:rsidR="00267AC0" w:rsidRPr="00490FC3" w:rsidRDefault="00267AC0" w:rsidP="00267AC0">
      <w:pPr>
        <w:rPr>
          <w:rFonts w:cstheme="minorHAnsi"/>
          <w:lang w:val="cs-CZ"/>
        </w:rPr>
      </w:pPr>
    </w:p>
    <w:p w:rsidR="00267AC0" w:rsidRPr="005E264A" w:rsidRDefault="00267AC0" w:rsidP="00267AC0">
      <w:pPr>
        <w:numPr>
          <w:ilvl w:val="1"/>
          <w:numId w:val="0"/>
        </w:numPr>
        <w:jc w:val="both"/>
        <w:rPr>
          <w:rFonts w:cstheme="minorHAnsi"/>
          <w:b/>
          <w:u w:val="single"/>
          <w:lang w:val="cs-CZ"/>
        </w:rPr>
      </w:pPr>
      <w:bookmarkStart w:id="222" w:name="_Toc472419953"/>
      <w:r w:rsidRPr="005E264A">
        <w:rPr>
          <w:rFonts w:cstheme="minorHAnsi"/>
          <w:b/>
          <w:u w:val="single"/>
          <w:lang w:val="cs-CZ"/>
        </w:rPr>
        <w:t>OBECNÁ PRAVIDLA PROCESU HODNOCENÍ</w:t>
      </w:r>
      <w:bookmarkEnd w:id="222"/>
      <w:r w:rsidRPr="005E264A">
        <w:rPr>
          <w:rFonts w:cstheme="minorHAnsi"/>
          <w:b/>
          <w:u w:val="single"/>
          <w:lang w:val="cs-CZ"/>
        </w:rPr>
        <w:t xml:space="preserve"> </w:t>
      </w:r>
    </w:p>
    <w:p w:rsidR="00267AC0" w:rsidRPr="00E160A5" w:rsidRDefault="00267AC0" w:rsidP="00267AC0">
      <w:pPr>
        <w:spacing w:line="240" w:lineRule="atLeast"/>
        <w:jc w:val="both"/>
        <w:rPr>
          <w:rFonts w:cstheme="minorHAnsi"/>
          <w:lang w:val="cs-CZ"/>
        </w:rPr>
      </w:pPr>
      <w:r w:rsidRPr="00E160A5">
        <w:rPr>
          <w:rFonts w:cstheme="minorHAnsi"/>
          <w:lang w:val="cs-CZ"/>
        </w:rPr>
        <w:t xml:space="preserve">Hodnocení vysoké školy provádí poskytovatel institucionální podpory na </w:t>
      </w:r>
      <w:r w:rsidR="00B64D29">
        <w:rPr>
          <w:rFonts w:cstheme="minorHAnsi"/>
          <w:lang w:val="cs-CZ"/>
        </w:rPr>
        <w:t>DKRVO</w:t>
      </w:r>
      <w:r w:rsidRPr="00D30CCD">
        <w:rPr>
          <w:rFonts w:cstheme="minorHAnsi"/>
          <w:lang w:val="cs-CZ"/>
        </w:rPr>
        <w:t xml:space="preserve"> (dále jen </w:t>
      </w:r>
      <w:r w:rsidR="00E92877" w:rsidRPr="00D30CCD">
        <w:rPr>
          <w:rFonts w:cstheme="minorHAnsi"/>
          <w:lang w:val="cs-CZ"/>
        </w:rPr>
        <w:t>„</w:t>
      </w:r>
      <w:r w:rsidRPr="00D30CCD">
        <w:rPr>
          <w:rFonts w:cstheme="minorHAnsi"/>
          <w:lang w:val="cs-CZ"/>
        </w:rPr>
        <w:t>poskytovatel</w:t>
      </w:r>
      <w:r w:rsidR="00E92877" w:rsidRPr="00D30CCD">
        <w:rPr>
          <w:rFonts w:cstheme="minorHAnsi"/>
          <w:lang w:val="cs-CZ"/>
        </w:rPr>
        <w:t>“</w:t>
      </w:r>
      <w:r w:rsidRPr="00D30CCD">
        <w:rPr>
          <w:rFonts w:cstheme="minorHAnsi"/>
          <w:lang w:val="cs-CZ"/>
        </w:rPr>
        <w:t>) v souladu s § 4 odst. 2 písm. a) zákona č. 130/2002 Sb., o podpoře výzkumu, experimentálního vývoje a inovac</w:t>
      </w:r>
      <w:r w:rsidR="00391180">
        <w:rPr>
          <w:rFonts w:cstheme="minorHAnsi"/>
          <w:lang w:val="cs-CZ"/>
        </w:rPr>
        <w:t>í</w:t>
      </w:r>
      <w:r w:rsidRPr="00D30CCD">
        <w:rPr>
          <w:rFonts w:cstheme="minorHAnsi"/>
          <w:lang w:val="cs-CZ"/>
        </w:rPr>
        <w:t xml:space="preserve"> z veřejných prostředků a o změně některých souvisejících zákonů (zákon o podpoře výzkumu, experimentálního vývoje a inovací),</w:t>
      </w:r>
      <w:r w:rsidR="00F40C4B" w:rsidRPr="00D30CCD">
        <w:rPr>
          <w:rFonts w:cstheme="minorHAnsi"/>
          <w:lang w:val="cs-CZ"/>
        </w:rPr>
        <w:t xml:space="preserve"> ve znění pozdějších předpisů</w:t>
      </w:r>
      <w:r w:rsidRPr="00D30CCD">
        <w:rPr>
          <w:rFonts w:cstheme="minorHAnsi"/>
          <w:lang w:val="cs-CZ"/>
        </w:rPr>
        <w:t>:</w:t>
      </w:r>
    </w:p>
    <w:p w:rsidR="00267AC0" w:rsidRPr="00BE3D0A" w:rsidRDefault="00267AC0" w:rsidP="00267AC0">
      <w:pPr>
        <w:pStyle w:val="Odstavecseseznamem"/>
        <w:numPr>
          <w:ilvl w:val="0"/>
          <w:numId w:val="32"/>
        </w:numPr>
        <w:spacing w:line="240" w:lineRule="atLeast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Ministerstvo</w:t>
      </w:r>
      <w:r w:rsidRPr="00BE3D0A">
        <w:rPr>
          <w:rFonts w:cstheme="minorHAnsi"/>
          <w:lang w:val="cs-CZ"/>
        </w:rPr>
        <w:t xml:space="preserve"> školství, mládeže a tělovýchovy</w:t>
      </w:r>
      <w:r>
        <w:rPr>
          <w:rFonts w:cstheme="minorHAnsi"/>
          <w:lang w:val="cs-CZ"/>
        </w:rPr>
        <w:t xml:space="preserve"> - </w:t>
      </w:r>
      <w:r w:rsidRPr="00BE3D0A">
        <w:rPr>
          <w:rFonts w:cstheme="minorHAnsi"/>
          <w:lang w:val="cs-CZ"/>
        </w:rPr>
        <w:t xml:space="preserve"> vysoké školy veřejné a soukromé</w:t>
      </w:r>
    </w:p>
    <w:p w:rsidR="00267AC0" w:rsidRPr="00BE3D0A" w:rsidRDefault="00267AC0" w:rsidP="00267AC0">
      <w:pPr>
        <w:pStyle w:val="Odstavecseseznamem"/>
        <w:numPr>
          <w:ilvl w:val="0"/>
          <w:numId w:val="32"/>
        </w:numPr>
        <w:spacing w:line="240" w:lineRule="atLeast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Ministerstvo</w:t>
      </w:r>
      <w:r w:rsidRPr="00BE3D0A">
        <w:rPr>
          <w:rFonts w:cstheme="minorHAnsi"/>
          <w:lang w:val="cs-CZ"/>
        </w:rPr>
        <w:t xml:space="preserve"> obrany</w:t>
      </w:r>
      <w:r>
        <w:rPr>
          <w:rFonts w:cstheme="minorHAnsi"/>
          <w:lang w:val="cs-CZ"/>
        </w:rPr>
        <w:t xml:space="preserve"> -</w:t>
      </w:r>
      <w:r w:rsidRPr="00BE3D0A">
        <w:rPr>
          <w:rFonts w:cstheme="minorHAnsi"/>
          <w:lang w:val="cs-CZ"/>
        </w:rPr>
        <w:t xml:space="preserve"> státní vysoké školy vojenské</w:t>
      </w:r>
    </w:p>
    <w:p w:rsidR="00267AC0" w:rsidRPr="00BE3D0A" w:rsidRDefault="00267AC0" w:rsidP="00267AC0">
      <w:pPr>
        <w:pStyle w:val="Odstavecseseznamem"/>
        <w:numPr>
          <w:ilvl w:val="0"/>
          <w:numId w:val="32"/>
        </w:numPr>
        <w:spacing w:line="240" w:lineRule="atLeast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Ministerstvo</w:t>
      </w:r>
      <w:r w:rsidRPr="00BE3D0A">
        <w:rPr>
          <w:rFonts w:cstheme="minorHAnsi"/>
          <w:lang w:val="cs-CZ"/>
        </w:rPr>
        <w:t xml:space="preserve"> vnitr</w:t>
      </w:r>
      <w:r>
        <w:rPr>
          <w:rFonts w:cstheme="minorHAnsi"/>
          <w:lang w:val="cs-CZ"/>
        </w:rPr>
        <w:t>a - státní vysoké školy policejní.</w:t>
      </w:r>
    </w:p>
    <w:p w:rsidR="00267AC0" w:rsidRPr="00E160A5" w:rsidRDefault="00267AC0" w:rsidP="00267AC0">
      <w:pPr>
        <w:pStyle w:val="Odstavecseseznamem"/>
        <w:spacing w:line="240" w:lineRule="atLeast"/>
        <w:ind w:left="360"/>
        <w:jc w:val="both"/>
        <w:rPr>
          <w:rFonts w:cstheme="minorHAnsi"/>
          <w:lang w:val="cs-CZ"/>
        </w:rPr>
      </w:pPr>
    </w:p>
    <w:p w:rsidR="00267AC0" w:rsidRPr="00E160A5" w:rsidRDefault="00267AC0" w:rsidP="00267AC0">
      <w:pPr>
        <w:spacing w:line="240" w:lineRule="atLeast"/>
        <w:jc w:val="both"/>
        <w:rPr>
          <w:rFonts w:cstheme="minorHAnsi"/>
          <w:lang w:val="cs-CZ"/>
        </w:rPr>
      </w:pPr>
      <w:r w:rsidRPr="00E160A5">
        <w:rPr>
          <w:rFonts w:cstheme="minorHAnsi"/>
          <w:lang w:val="cs-CZ"/>
        </w:rPr>
        <w:t xml:space="preserve">Poskytovatel zpracuje </w:t>
      </w:r>
      <w:r>
        <w:rPr>
          <w:rFonts w:cstheme="minorHAnsi"/>
          <w:lang w:val="cs-CZ"/>
        </w:rPr>
        <w:t>podrobnou dokumentaci k realizaci</w:t>
      </w:r>
      <w:r w:rsidRPr="00E160A5">
        <w:rPr>
          <w:rFonts w:cstheme="minorHAnsi"/>
          <w:lang w:val="cs-CZ"/>
        </w:rPr>
        <w:t xml:space="preserve"> hodnocení v segmentu vysokých škol v</w:t>
      </w:r>
      <w:r w:rsidR="00C60731">
        <w:rPr>
          <w:rFonts w:cstheme="minorHAnsi"/>
          <w:lang w:val="cs-CZ"/>
        </w:rPr>
        <w:t> </w:t>
      </w:r>
      <w:r w:rsidRPr="00E160A5">
        <w:rPr>
          <w:rFonts w:cstheme="minorHAnsi"/>
          <w:lang w:val="cs-CZ"/>
        </w:rPr>
        <w:t>modulech M3-M5 (dále jen „dokumentace“), která obsahuje informace, instrukce, formuláře a</w:t>
      </w:r>
      <w:r w:rsidR="00C60731">
        <w:rPr>
          <w:rFonts w:cstheme="minorHAnsi"/>
          <w:lang w:val="cs-CZ"/>
        </w:rPr>
        <w:t> </w:t>
      </w:r>
      <w:r w:rsidRPr="00E160A5">
        <w:rPr>
          <w:rFonts w:cstheme="minorHAnsi"/>
          <w:lang w:val="cs-CZ"/>
        </w:rPr>
        <w:t xml:space="preserve">vzorové dokumenty jak pro přípravnou, tak pro realizační fázi hodnocení. Dokumentace je </w:t>
      </w:r>
      <w:r>
        <w:rPr>
          <w:rFonts w:cstheme="minorHAnsi"/>
          <w:lang w:val="cs-CZ"/>
        </w:rPr>
        <w:t>zveřejněna na webové stránce</w:t>
      </w:r>
      <w:r w:rsidRPr="00E160A5">
        <w:rPr>
          <w:rFonts w:cstheme="minorHAnsi"/>
          <w:lang w:val="cs-CZ"/>
        </w:rPr>
        <w:t xml:space="preserve"> poskytovatele v termínu stanoveném v rámcovém harmonogramu pro první hodnocení.</w:t>
      </w:r>
    </w:p>
    <w:p w:rsidR="00267AC0" w:rsidRPr="00E160A5" w:rsidRDefault="00267AC0" w:rsidP="00267AC0">
      <w:pPr>
        <w:pStyle w:val="Odstavecseseznamem"/>
        <w:spacing w:line="240" w:lineRule="atLeast"/>
        <w:ind w:left="360"/>
        <w:jc w:val="both"/>
        <w:rPr>
          <w:rFonts w:cstheme="minorHAnsi"/>
          <w:lang w:val="cs-CZ"/>
        </w:rPr>
      </w:pPr>
    </w:p>
    <w:p w:rsidR="00267AC0" w:rsidRDefault="00267AC0" w:rsidP="00267AC0">
      <w:pPr>
        <w:spacing w:line="240" w:lineRule="atLeast"/>
        <w:jc w:val="both"/>
        <w:rPr>
          <w:rFonts w:cstheme="minorHAnsi"/>
          <w:lang w:val="cs-CZ"/>
        </w:rPr>
      </w:pPr>
      <w:r w:rsidRPr="00E160A5">
        <w:rPr>
          <w:rFonts w:cstheme="minorHAnsi"/>
          <w:lang w:val="cs-CZ"/>
        </w:rPr>
        <w:t>Vysoká škola podklady k hodnocení, včetně sebeevaluační</w:t>
      </w:r>
      <w:r>
        <w:rPr>
          <w:rFonts w:cstheme="minorHAnsi"/>
          <w:lang w:val="cs-CZ"/>
        </w:rPr>
        <w:t xml:space="preserve"> zprávy, předkládá v</w:t>
      </w:r>
      <w:r w:rsidRPr="00E160A5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>anglickém jazyce a</w:t>
      </w:r>
      <w:r w:rsidR="00C60731">
        <w:rPr>
          <w:rFonts w:cstheme="minorHAnsi"/>
          <w:lang w:val="cs-CZ"/>
        </w:rPr>
        <w:t> </w:t>
      </w:r>
      <w:r>
        <w:rPr>
          <w:rFonts w:cstheme="minorHAnsi"/>
          <w:lang w:val="cs-CZ"/>
        </w:rPr>
        <w:t>způsobem, který je uveden</w:t>
      </w:r>
      <w:r w:rsidRPr="00E160A5">
        <w:rPr>
          <w:rFonts w:cstheme="minorHAnsi"/>
          <w:lang w:val="cs-CZ"/>
        </w:rPr>
        <w:t xml:space="preserve"> v dokumentaci a to </w:t>
      </w:r>
      <w:r w:rsidR="0063469B">
        <w:rPr>
          <w:rFonts w:cstheme="minorHAnsi"/>
          <w:lang w:val="cs-CZ"/>
        </w:rPr>
        <w:t xml:space="preserve">prostřednictvím datové schránky, </w:t>
      </w:r>
      <w:r w:rsidR="008D63FC">
        <w:rPr>
          <w:rFonts w:cstheme="minorHAnsi"/>
          <w:lang w:val="cs-CZ"/>
        </w:rPr>
        <w:t xml:space="preserve">nebo </w:t>
      </w:r>
      <w:r w:rsidRPr="00E160A5">
        <w:rPr>
          <w:rFonts w:cstheme="minorHAnsi"/>
          <w:lang w:val="cs-CZ"/>
        </w:rPr>
        <w:t xml:space="preserve">v </w:t>
      </w:r>
      <w:r w:rsidRPr="00AF40B6">
        <w:rPr>
          <w:rFonts w:cstheme="minorHAnsi"/>
          <w:lang w:val="cs-CZ"/>
        </w:rPr>
        <w:t xml:space="preserve">tištěné i digitální podobě na </w:t>
      </w:r>
      <w:r w:rsidR="00EA0705">
        <w:rPr>
          <w:rFonts w:cstheme="minorHAnsi"/>
          <w:lang w:val="cs-CZ"/>
        </w:rPr>
        <w:t>fla</w:t>
      </w:r>
      <w:r w:rsidR="00AF40B6" w:rsidRPr="00AF40B6">
        <w:rPr>
          <w:rFonts w:cstheme="minorHAnsi"/>
          <w:lang w:val="cs-CZ"/>
        </w:rPr>
        <w:t>sh</w:t>
      </w:r>
      <w:r w:rsidR="00EA0705">
        <w:rPr>
          <w:rFonts w:cstheme="minorHAnsi"/>
          <w:lang w:val="cs-CZ"/>
        </w:rPr>
        <w:t xml:space="preserve"> </w:t>
      </w:r>
      <w:r w:rsidR="00AF40B6">
        <w:rPr>
          <w:rFonts w:cstheme="minorHAnsi"/>
          <w:lang w:val="cs-CZ"/>
        </w:rPr>
        <w:t>disku</w:t>
      </w:r>
      <w:r w:rsidR="004C4649">
        <w:rPr>
          <w:rFonts w:cstheme="minorHAnsi"/>
          <w:lang w:val="cs-CZ"/>
        </w:rPr>
        <w:t>, pokud by datovou schránku nebylo možné použít</w:t>
      </w:r>
      <w:r w:rsidR="00EA0705">
        <w:rPr>
          <w:rFonts w:cstheme="minorHAnsi"/>
          <w:lang w:val="cs-CZ"/>
        </w:rPr>
        <w:t>.</w:t>
      </w:r>
    </w:p>
    <w:p w:rsidR="00267AC0" w:rsidRDefault="00267AC0" w:rsidP="00267AC0">
      <w:pPr>
        <w:pStyle w:val="Odstavecseseznamem"/>
        <w:ind w:left="0"/>
        <w:jc w:val="both"/>
        <w:rPr>
          <w:rFonts w:cstheme="minorHAnsi"/>
          <w:lang w:val="cs-CZ"/>
        </w:rPr>
      </w:pPr>
    </w:p>
    <w:p w:rsidR="00267AC0" w:rsidRPr="00490FC3" w:rsidRDefault="00267AC0" w:rsidP="00267AC0">
      <w:pPr>
        <w:pStyle w:val="Odstavecseseznamem"/>
        <w:ind w:left="0"/>
        <w:jc w:val="both"/>
        <w:rPr>
          <w:rFonts w:cstheme="minorHAnsi"/>
          <w:lang w:val="cs-CZ"/>
        </w:rPr>
      </w:pPr>
      <w:r w:rsidRPr="00490FC3">
        <w:rPr>
          <w:rFonts w:cstheme="minorHAnsi"/>
          <w:lang w:val="cs-CZ"/>
        </w:rPr>
        <w:t xml:space="preserve">Do hodnocení </w:t>
      </w:r>
      <w:r>
        <w:rPr>
          <w:rFonts w:cstheme="minorHAnsi"/>
          <w:lang w:val="cs-CZ"/>
        </w:rPr>
        <w:t xml:space="preserve">poskytovatelem </w:t>
      </w:r>
      <w:r w:rsidRPr="00490FC3">
        <w:rPr>
          <w:rFonts w:cstheme="minorHAnsi"/>
          <w:lang w:val="cs-CZ"/>
        </w:rPr>
        <w:t xml:space="preserve">vstupuje vysoká škola, která: </w:t>
      </w:r>
    </w:p>
    <w:p w:rsidR="00267AC0" w:rsidRPr="00D30CCD" w:rsidRDefault="00267AC0" w:rsidP="00267AC0">
      <w:pPr>
        <w:pStyle w:val="Odstavecseseznamem"/>
        <w:numPr>
          <w:ilvl w:val="0"/>
          <w:numId w:val="4"/>
        </w:numPr>
        <w:spacing w:line="240" w:lineRule="atLeast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je v době</w:t>
      </w:r>
      <w:r w:rsidRPr="0088132F">
        <w:rPr>
          <w:rFonts w:cstheme="minorHAnsi"/>
          <w:lang w:val="cs-CZ"/>
        </w:rPr>
        <w:t> předložení</w:t>
      </w:r>
      <w:r>
        <w:rPr>
          <w:rFonts w:cstheme="minorHAnsi"/>
          <w:lang w:val="cs-CZ"/>
        </w:rPr>
        <w:t xml:space="preserve"> podkladů pro hodnocení</w:t>
      </w:r>
      <w:r w:rsidRPr="0088132F">
        <w:rPr>
          <w:rFonts w:cstheme="minorHAnsi"/>
          <w:lang w:val="cs-CZ"/>
        </w:rPr>
        <w:t xml:space="preserve"> </w:t>
      </w:r>
      <w:r w:rsidRPr="005D5EEB">
        <w:rPr>
          <w:rFonts w:cstheme="minorHAnsi"/>
          <w:lang w:val="cs-CZ"/>
        </w:rPr>
        <w:t xml:space="preserve">(dále jen „podklady“) </w:t>
      </w:r>
      <w:r w:rsidRPr="0088132F">
        <w:rPr>
          <w:rFonts w:cstheme="minorHAnsi"/>
          <w:lang w:val="cs-CZ"/>
        </w:rPr>
        <w:t>zapsána v Seznamu výzkumných organizací podle § 33a zákona</w:t>
      </w:r>
      <w:r w:rsidR="004302E7">
        <w:rPr>
          <w:rFonts w:cstheme="minorHAnsi"/>
          <w:lang w:val="cs-CZ"/>
        </w:rPr>
        <w:t xml:space="preserve"> o</w:t>
      </w:r>
      <w:r w:rsidRPr="00A80E34">
        <w:rPr>
          <w:rFonts w:cstheme="minorHAnsi"/>
          <w:vertAlign w:val="superscript"/>
          <w:lang w:val="cs-CZ"/>
        </w:rPr>
        <w:t xml:space="preserve"> </w:t>
      </w:r>
      <w:r w:rsidRPr="00E75454">
        <w:rPr>
          <w:rFonts w:cstheme="minorHAnsi"/>
          <w:lang w:val="cs-CZ"/>
        </w:rPr>
        <w:t>podpoře výz</w:t>
      </w:r>
      <w:r>
        <w:rPr>
          <w:rFonts w:cstheme="minorHAnsi"/>
          <w:lang w:val="cs-CZ"/>
        </w:rPr>
        <w:t>kumu</w:t>
      </w:r>
      <w:r w:rsidRPr="00D30CCD">
        <w:rPr>
          <w:rFonts w:cstheme="minorHAnsi"/>
          <w:lang w:val="cs-CZ"/>
        </w:rPr>
        <w:t>, experimentálního vývoje a inovací,</w:t>
      </w:r>
    </w:p>
    <w:p w:rsidR="00267AC0" w:rsidRPr="00D30CCD" w:rsidRDefault="00267AC0" w:rsidP="00267AC0">
      <w:pPr>
        <w:pStyle w:val="Odstavecseseznamem"/>
        <w:numPr>
          <w:ilvl w:val="0"/>
          <w:numId w:val="4"/>
        </w:numPr>
        <w:spacing w:line="240" w:lineRule="atLeast"/>
        <w:jc w:val="both"/>
        <w:rPr>
          <w:rFonts w:cstheme="minorHAnsi"/>
          <w:lang w:val="cs-CZ"/>
        </w:rPr>
      </w:pPr>
      <w:r w:rsidRPr="00D30CCD">
        <w:rPr>
          <w:rFonts w:cstheme="minorHAnsi"/>
          <w:lang w:val="cs-CZ"/>
        </w:rPr>
        <w:t xml:space="preserve">spadá do působnosti daného poskytovatele institucionální podpory DKRVO podle § 4 odst. 2 </w:t>
      </w:r>
      <w:r w:rsidR="00616315">
        <w:rPr>
          <w:rFonts w:cstheme="minorHAnsi"/>
          <w:lang w:val="cs-CZ"/>
        </w:rPr>
        <w:t xml:space="preserve">zákona o </w:t>
      </w:r>
      <w:r w:rsidRPr="00D30CCD">
        <w:rPr>
          <w:rFonts w:cstheme="minorHAnsi"/>
          <w:lang w:val="cs-CZ"/>
        </w:rPr>
        <w:t>podpoře výzkumu, experimentálního vývoje a inovací,</w:t>
      </w:r>
    </w:p>
    <w:p w:rsidR="00AF40B6" w:rsidRPr="00D93EC3" w:rsidRDefault="00AF40B6" w:rsidP="00267AC0">
      <w:pPr>
        <w:pStyle w:val="Odstavecseseznamem"/>
        <w:numPr>
          <w:ilvl w:val="0"/>
          <w:numId w:val="4"/>
        </w:numPr>
        <w:spacing w:line="240" w:lineRule="atLeast"/>
        <w:jc w:val="both"/>
        <w:rPr>
          <w:rFonts w:cstheme="minorHAnsi"/>
          <w:lang w:val="cs-CZ"/>
        </w:rPr>
      </w:pPr>
      <w:r w:rsidRPr="00D93EC3">
        <w:rPr>
          <w:rFonts w:cstheme="minorHAnsi"/>
          <w:lang w:val="cs-CZ"/>
        </w:rPr>
        <w:t>je RVVI hodnocena v modulech M1 a M2</w:t>
      </w:r>
    </w:p>
    <w:p w:rsidR="00267AC0" w:rsidRPr="00BE3D0A" w:rsidRDefault="00267AC0" w:rsidP="00267AC0">
      <w:pPr>
        <w:pStyle w:val="Odstavecseseznamem"/>
        <w:numPr>
          <w:ilvl w:val="0"/>
          <w:numId w:val="8"/>
        </w:numPr>
        <w:spacing w:line="240" w:lineRule="atLeast"/>
        <w:ind w:left="360"/>
        <w:jc w:val="both"/>
        <w:rPr>
          <w:rFonts w:cstheme="minorHAnsi"/>
          <w:lang w:val="cs-CZ"/>
        </w:rPr>
      </w:pPr>
      <w:r w:rsidRPr="00BE3D0A">
        <w:rPr>
          <w:rFonts w:cstheme="minorHAnsi"/>
          <w:lang w:val="cs-CZ"/>
        </w:rPr>
        <w:t>předloží všechny požadované podklady úplné a ve stanovených termínech.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MEP má </w:t>
      </w:r>
      <w:r w:rsidRPr="002E55B3">
        <w:rPr>
          <w:rFonts w:cstheme="minorHAnsi"/>
          <w:lang w:val="cs-CZ"/>
        </w:rPr>
        <w:t>nejméně 7 členů</w:t>
      </w:r>
      <w:r>
        <w:rPr>
          <w:rFonts w:cstheme="minorHAnsi"/>
          <w:lang w:val="cs-CZ"/>
        </w:rPr>
        <w:t xml:space="preserve">, z nichž nadpoloviční většinu musí tvořit </w:t>
      </w:r>
      <w:r w:rsidRPr="00AE130E">
        <w:rPr>
          <w:rFonts w:cstheme="minorHAnsi"/>
          <w:lang w:val="cs-CZ"/>
        </w:rPr>
        <w:t>odborníci ze zahraničí</w:t>
      </w:r>
      <w:r w:rsidR="00EA0705">
        <w:rPr>
          <w:rFonts w:cstheme="minorHAnsi"/>
          <w:lang w:val="cs-CZ"/>
        </w:rPr>
        <w:t>.</w:t>
      </w:r>
      <w:r>
        <w:rPr>
          <w:rFonts w:cstheme="minorHAnsi"/>
          <w:lang w:val="cs-CZ"/>
        </w:rPr>
        <w:t xml:space="preserve"> </w:t>
      </w:r>
      <w:r w:rsidRPr="00AE130E">
        <w:rPr>
          <w:rFonts w:cstheme="minorHAnsi"/>
          <w:lang w:val="cs-CZ"/>
        </w:rPr>
        <w:t>Činnost MEP se řídí statutem a jednacím řádem schváleným poskytovatelem.</w:t>
      </w:r>
      <w:r w:rsidR="000D7AF6" w:rsidRPr="000D7AF6">
        <w:rPr>
          <w:rFonts w:cstheme="minorHAnsi"/>
          <w:lang w:val="cs-CZ"/>
        </w:rPr>
        <w:t xml:space="preserve"> Členové MEP musí odpovídat standardům nepodjatosti vůči hodnocené vysoké </w:t>
      </w:r>
      <w:r w:rsidR="000D7AF6" w:rsidRPr="002461DA">
        <w:rPr>
          <w:rFonts w:cstheme="minorHAnsi"/>
          <w:color w:val="000000" w:themeColor="text1"/>
          <w:lang w:val="cs-CZ"/>
        </w:rPr>
        <w:t xml:space="preserve">škole uvedeným </w:t>
      </w:r>
      <w:r w:rsidR="0099636E" w:rsidRPr="002461DA">
        <w:rPr>
          <w:rFonts w:cstheme="minorHAnsi"/>
          <w:color w:val="000000" w:themeColor="text1"/>
          <w:lang w:val="cs-CZ"/>
        </w:rPr>
        <w:t xml:space="preserve">v textu čestného prohlášení a </w:t>
      </w:r>
      <w:r w:rsidR="000D7AF6" w:rsidRPr="002461DA">
        <w:rPr>
          <w:rFonts w:cstheme="minorHAnsi"/>
          <w:color w:val="000000" w:themeColor="text1"/>
          <w:lang w:val="cs-CZ"/>
        </w:rPr>
        <w:t>ve statutu a jednacím řádu MEP, pro kter</w:t>
      </w:r>
      <w:r w:rsidR="0099636E" w:rsidRPr="002461DA">
        <w:rPr>
          <w:rFonts w:cstheme="minorHAnsi"/>
          <w:color w:val="000000" w:themeColor="text1"/>
          <w:lang w:val="cs-CZ"/>
        </w:rPr>
        <w:t>é</w:t>
      </w:r>
      <w:r w:rsidR="000D7AF6" w:rsidRPr="002461DA">
        <w:rPr>
          <w:rFonts w:cstheme="minorHAnsi"/>
          <w:color w:val="000000" w:themeColor="text1"/>
          <w:lang w:val="cs-CZ"/>
        </w:rPr>
        <w:t xml:space="preserve"> se</w:t>
      </w:r>
      <w:r w:rsidR="000D7AF6" w:rsidRPr="002461DA">
        <w:rPr>
          <w:rFonts w:cstheme="minorHAnsi"/>
          <w:lang w:val="cs-CZ"/>
        </w:rPr>
        <w:t xml:space="preserve"> </w:t>
      </w:r>
      <w:r w:rsidR="000D7AF6" w:rsidRPr="000D7AF6">
        <w:rPr>
          <w:rFonts w:cstheme="minorHAnsi"/>
          <w:lang w:val="cs-CZ"/>
        </w:rPr>
        <w:t>přiměřeně použijí principy uvedené v Příloze 2 Metodiky 2017+.</w:t>
      </w:r>
      <w:r w:rsidR="000D7AF6">
        <w:rPr>
          <w:rFonts w:cstheme="minorHAnsi"/>
          <w:lang w:val="cs-CZ"/>
        </w:rPr>
        <w:t xml:space="preserve"> </w:t>
      </w:r>
      <w:r w:rsidRPr="00E75454">
        <w:rPr>
          <w:rFonts w:cstheme="minorHAnsi"/>
          <w:lang w:val="cs-CZ"/>
        </w:rPr>
        <w:t>Členem MEP je vždy i jeden zástupce poskytovatele.</w:t>
      </w:r>
      <w:r w:rsidRPr="00AE130E">
        <w:rPr>
          <w:rFonts w:cstheme="minorHAnsi"/>
          <w:lang w:val="cs-CZ"/>
        </w:rPr>
        <w:t xml:space="preserve"> </w:t>
      </w:r>
      <w:r w:rsidRPr="00CF39E7">
        <w:rPr>
          <w:rFonts w:cstheme="minorHAnsi"/>
          <w:lang w:val="cs-CZ"/>
        </w:rPr>
        <w:t xml:space="preserve">K navrhovanému složení MEP </w:t>
      </w:r>
      <w:r>
        <w:rPr>
          <w:rFonts w:cstheme="minorHAnsi"/>
          <w:lang w:val="cs-CZ"/>
        </w:rPr>
        <w:t xml:space="preserve">poskytovatel požádá o vyjádření </w:t>
      </w:r>
      <w:r w:rsidRPr="00CF39E7">
        <w:rPr>
          <w:rFonts w:cstheme="minorHAnsi"/>
          <w:lang w:val="cs-CZ"/>
        </w:rPr>
        <w:t>Komis</w:t>
      </w:r>
      <w:r>
        <w:rPr>
          <w:rFonts w:cstheme="minorHAnsi"/>
          <w:lang w:val="cs-CZ"/>
        </w:rPr>
        <w:t>i</w:t>
      </w:r>
      <w:r w:rsidRPr="00CF39E7">
        <w:rPr>
          <w:rFonts w:cstheme="minorHAnsi"/>
          <w:lang w:val="cs-CZ"/>
        </w:rPr>
        <w:t xml:space="preserve"> pro hodnocení výsledků výzkumných organizací a </w:t>
      </w:r>
      <w:r w:rsidRPr="00CF39E7">
        <w:rPr>
          <w:rFonts w:cstheme="minorHAnsi"/>
          <w:lang w:val="cs-CZ"/>
        </w:rPr>
        <w:lastRenderedPageBreak/>
        <w:t>ukončených programů (dále jen „KHV“)</w:t>
      </w:r>
      <w:r>
        <w:rPr>
          <w:rFonts w:cstheme="minorHAnsi"/>
          <w:lang w:val="cs-CZ"/>
        </w:rPr>
        <w:t xml:space="preserve">. Poskytovatel </w:t>
      </w:r>
      <w:r w:rsidRPr="00CF39E7">
        <w:rPr>
          <w:rFonts w:cstheme="minorHAnsi"/>
          <w:lang w:val="cs-CZ"/>
        </w:rPr>
        <w:t xml:space="preserve">nemusí v odůvodněných případech </w:t>
      </w:r>
      <w:r>
        <w:rPr>
          <w:rFonts w:cstheme="minorHAnsi"/>
          <w:lang w:val="cs-CZ"/>
        </w:rPr>
        <w:t>vyjádření</w:t>
      </w:r>
      <w:r w:rsidRPr="00CF39E7">
        <w:rPr>
          <w:rFonts w:cstheme="minorHAnsi"/>
          <w:lang w:val="cs-CZ"/>
        </w:rPr>
        <w:t xml:space="preserve"> KHV respektovat</w:t>
      </w:r>
      <w:r>
        <w:rPr>
          <w:rFonts w:cstheme="minorHAnsi"/>
          <w:lang w:val="cs-CZ"/>
        </w:rPr>
        <w:t>.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 w:rsidRPr="00E75454">
        <w:rPr>
          <w:rFonts w:cstheme="minorHAnsi"/>
          <w:lang w:val="cs-CZ"/>
        </w:rPr>
        <w:t>Za činnost v MEP přísluší členovi</w:t>
      </w:r>
      <w:r>
        <w:rPr>
          <w:rFonts w:cstheme="minorHAnsi"/>
          <w:lang w:val="cs-CZ"/>
        </w:rPr>
        <w:t>, s výjimkou člena zastupujícího poskytovatele, přiměřená odměna a </w:t>
      </w:r>
      <w:r w:rsidRPr="00E75454">
        <w:rPr>
          <w:rFonts w:cstheme="minorHAnsi"/>
          <w:lang w:val="cs-CZ"/>
        </w:rPr>
        <w:t>náhrady cestovních výdajů.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</w:p>
    <w:p w:rsidR="00267AC0" w:rsidRPr="005F0310" w:rsidRDefault="00267AC0" w:rsidP="00EC0B12">
      <w:pPr>
        <w:pStyle w:val="Nadpis3"/>
        <w:rPr>
          <w:lang w:val="cs-CZ"/>
        </w:rPr>
      </w:pPr>
      <w:bookmarkStart w:id="223" w:name="_Toc7169363"/>
      <w:bookmarkStart w:id="224" w:name="_Toc7772782"/>
      <w:bookmarkStart w:id="225" w:name="_Toc11664153"/>
      <w:r w:rsidRPr="005F0310">
        <w:rPr>
          <w:lang w:val="cs-CZ"/>
        </w:rPr>
        <w:t>PŘÍPRAVNÁ FÁZE HODNOCENÍ</w:t>
      </w:r>
      <w:bookmarkEnd w:id="223"/>
      <w:bookmarkEnd w:id="224"/>
      <w:bookmarkEnd w:id="225"/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</w:p>
    <w:p w:rsidR="00267AC0" w:rsidRPr="005F0310" w:rsidRDefault="005607FA" w:rsidP="00267AC0">
      <w:pPr>
        <w:pStyle w:val="Nadpis4"/>
        <w:rPr>
          <w:lang w:val="cs-CZ"/>
        </w:rPr>
      </w:pPr>
      <w:r>
        <w:rPr>
          <w:lang w:val="cs-CZ"/>
        </w:rPr>
        <w:t>ZASLÁNÍ PODKLADŮ PRO HODNOCENÍ POSKYTOVATELI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 w:rsidRPr="003E5928">
        <w:rPr>
          <w:rFonts w:cstheme="minorHAnsi"/>
          <w:lang w:val="cs-CZ"/>
        </w:rPr>
        <w:t xml:space="preserve">Vysoká škola </w:t>
      </w:r>
      <w:r>
        <w:rPr>
          <w:rFonts w:cstheme="minorHAnsi"/>
          <w:lang w:val="cs-CZ"/>
        </w:rPr>
        <w:t>v souladu se zveřejněnou dokumentací</w:t>
      </w:r>
      <w:r w:rsidRPr="003E5928">
        <w:rPr>
          <w:rFonts w:cstheme="minorHAnsi"/>
          <w:lang w:val="cs-CZ"/>
        </w:rPr>
        <w:t xml:space="preserve"> předloží </w:t>
      </w:r>
      <w:r>
        <w:rPr>
          <w:rFonts w:cstheme="minorHAnsi"/>
          <w:lang w:val="cs-CZ"/>
        </w:rPr>
        <w:t xml:space="preserve">poskytovateli </w:t>
      </w:r>
      <w:r w:rsidRPr="003E5928">
        <w:rPr>
          <w:rFonts w:cstheme="minorHAnsi"/>
          <w:lang w:val="cs-CZ"/>
        </w:rPr>
        <w:t>sebeevaluační zpráv</w:t>
      </w:r>
      <w:r>
        <w:rPr>
          <w:rFonts w:cstheme="minorHAnsi"/>
          <w:lang w:val="cs-CZ"/>
        </w:rPr>
        <w:t>u a </w:t>
      </w:r>
      <w:r w:rsidRPr="003E5928">
        <w:rPr>
          <w:rFonts w:cstheme="minorHAnsi"/>
          <w:lang w:val="cs-CZ"/>
        </w:rPr>
        <w:t>další podklad</w:t>
      </w:r>
      <w:r>
        <w:rPr>
          <w:rFonts w:cstheme="minorHAnsi"/>
          <w:lang w:val="cs-CZ"/>
        </w:rPr>
        <w:t>y pro hodnocení.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</w:p>
    <w:p w:rsidR="00267AC0" w:rsidRPr="00FE7F78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 w:rsidRPr="005F0310">
        <w:rPr>
          <w:rFonts w:cstheme="minorHAnsi"/>
          <w:lang w:val="cs-CZ"/>
        </w:rPr>
        <w:t xml:space="preserve">Obsah předložených </w:t>
      </w:r>
      <w:r>
        <w:rPr>
          <w:rFonts w:cstheme="minorHAnsi"/>
          <w:lang w:val="cs-CZ"/>
        </w:rPr>
        <w:t xml:space="preserve">podkladů </w:t>
      </w:r>
      <w:r w:rsidRPr="005F0310">
        <w:rPr>
          <w:rFonts w:cstheme="minorHAnsi"/>
          <w:lang w:val="cs-CZ"/>
        </w:rPr>
        <w:t>bude ověřen z hlediska formálních náležitostí a obsahové úplnosti</w:t>
      </w:r>
      <w:r>
        <w:rPr>
          <w:rFonts w:cstheme="minorHAnsi"/>
          <w:lang w:val="cs-CZ"/>
        </w:rPr>
        <w:t xml:space="preserve">. </w:t>
      </w:r>
      <w:r w:rsidR="00A02AA4">
        <w:rPr>
          <w:rFonts w:cstheme="minorHAnsi"/>
          <w:lang w:val="cs-CZ"/>
        </w:rPr>
        <w:t>V </w:t>
      </w:r>
      <w:r w:rsidRPr="005F0310">
        <w:rPr>
          <w:rFonts w:cstheme="minorHAnsi"/>
          <w:lang w:val="cs-CZ"/>
        </w:rPr>
        <w:t xml:space="preserve">případě </w:t>
      </w:r>
      <w:r>
        <w:rPr>
          <w:rFonts w:cstheme="minorHAnsi"/>
          <w:lang w:val="cs-CZ"/>
        </w:rPr>
        <w:t>zjištění nedostatků</w:t>
      </w:r>
      <w:r w:rsidRPr="005F0310">
        <w:rPr>
          <w:rFonts w:cstheme="minorHAnsi"/>
          <w:lang w:val="cs-CZ"/>
        </w:rPr>
        <w:t xml:space="preserve"> bude žádost vrácena vysoké škole k </w:t>
      </w:r>
      <w:r>
        <w:rPr>
          <w:rFonts w:cstheme="minorHAnsi"/>
          <w:lang w:val="cs-CZ"/>
        </w:rPr>
        <w:t>úpravě</w:t>
      </w:r>
      <w:r w:rsidRPr="005F0310">
        <w:rPr>
          <w:rFonts w:cstheme="minorHAnsi"/>
          <w:lang w:val="cs-CZ"/>
        </w:rPr>
        <w:t xml:space="preserve">. </w:t>
      </w:r>
      <w:r>
        <w:rPr>
          <w:rFonts w:cstheme="minorHAnsi"/>
          <w:lang w:val="cs-CZ"/>
        </w:rPr>
        <w:t>Lhůta pro podání upravených podkladů je nejvýše 14 kalendářních dní. Po potvrzení formální bezvadnosti podkladů pro hodnocení poskytovatelem jsou podklady zaslány členům MEP a tím přípravná fáze hodnocení končí.</w:t>
      </w:r>
    </w:p>
    <w:p w:rsidR="00267AC0" w:rsidRDefault="00267AC0" w:rsidP="00267AC0">
      <w:pPr>
        <w:pStyle w:val="Odstavecseseznamem"/>
        <w:spacing w:line="240" w:lineRule="atLeast"/>
        <w:ind w:left="0"/>
        <w:jc w:val="center"/>
        <w:rPr>
          <w:rFonts w:cstheme="minorHAnsi"/>
          <w:b/>
          <w:noProof/>
          <w:u w:val="single"/>
          <w:lang w:val="cs-CZ" w:eastAsia="cs-CZ"/>
        </w:rPr>
      </w:pPr>
    </w:p>
    <w:p w:rsidR="00267AC0" w:rsidRDefault="00267AC0" w:rsidP="00267AC0">
      <w:pPr>
        <w:pStyle w:val="Odstavecseseznamem"/>
        <w:spacing w:line="240" w:lineRule="atLeast"/>
        <w:ind w:left="0"/>
        <w:jc w:val="center"/>
        <w:rPr>
          <w:rFonts w:cstheme="minorHAnsi"/>
          <w:b/>
          <w:noProof/>
          <w:u w:val="single"/>
          <w:lang w:val="cs-CZ" w:eastAsia="cs-CZ"/>
        </w:rPr>
      </w:pPr>
    </w:p>
    <w:p w:rsidR="00267AC0" w:rsidRDefault="00267AC0" w:rsidP="00267AC0">
      <w:pPr>
        <w:pStyle w:val="Odstavecseseznamem"/>
        <w:spacing w:line="240" w:lineRule="atLeast"/>
        <w:ind w:left="0"/>
        <w:jc w:val="center"/>
        <w:rPr>
          <w:rFonts w:cstheme="minorHAnsi"/>
          <w:b/>
          <w:noProof/>
          <w:u w:val="single"/>
          <w:lang w:val="cs-CZ" w:eastAsia="cs-CZ"/>
        </w:rPr>
      </w:pPr>
    </w:p>
    <w:p w:rsidR="00267AC0" w:rsidRDefault="00267AC0" w:rsidP="00267AC0">
      <w:pPr>
        <w:pStyle w:val="Odstavecseseznamem"/>
        <w:spacing w:line="240" w:lineRule="atLeast"/>
        <w:ind w:left="0"/>
        <w:jc w:val="center"/>
        <w:rPr>
          <w:rFonts w:cstheme="minorHAnsi"/>
          <w:b/>
          <w:noProof/>
          <w:u w:val="single"/>
          <w:lang w:val="cs-CZ" w:eastAsia="cs-CZ"/>
        </w:rPr>
      </w:pPr>
      <w:r>
        <w:rPr>
          <w:noProof/>
          <w:lang w:val="cs-CZ" w:eastAsia="cs-CZ"/>
        </w:rPr>
        <w:drawing>
          <wp:inline distT="0" distB="0" distL="0" distR="0">
            <wp:extent cx="3997139" cy="2486025"/>
            <wp:effectExtent l="0" t="0" r="3810" b="0"/>
            <wp:docPr id="1" name="Picture 1" descr="https://scontent-lga3-1.xx.fbcdn.net/v/t1.15752-9/58419862_419490898846392_1211701525076770816_n.jpg?_nc_cat=109&amp;_nc_ht=scontent-lga3-1.xx&amp;oh=c2fb0488dd901edfe92362083c87ed3d&amp;oe=5D699F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ga3-1.xx.fbcdn.net/v/t1.15752-9/58419862_419490898846392_1211701525076770816_n.jpg?_nc_cat=109&amp;_nc_ht=scontent-lga3-1.xx&amp;oh=c2fb0488dd901edfe92362083c87ed3d&amp;oe=5D699F4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27" cy="250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AC0" w:rsidRDefault="00267AC0" w:rsidP="00267AC0">
      <w:pPr>
        <w:pStyle w:val="Odstavecseseznamem"/>
        <w:spacing w:line="240" w:lineRule="atLeast"/>
        <w:ind w:left="0"/>
        <w:jc w:val="center"/>
        <w:rPr>
          <w:rFonts w:cstheme="minorHAnsi"/>
          <w:b/>
          <w:noProof/>
          <w:u w:val="single"/>
          <w:lang w:val="cs-CZ" w:eastAsia="cs-CZ"/>
        </w:rPr>
      </w:pPr>
    </w:p>
    <w:p w:rsidR="00267AC0" w:rsidRDefault="00267AC0" w:rsidP="00267AC0">
      <w:pPr>
        <w:pStyle w:val="Odstavecseseznamem"/>
        <w:spacing w:line="240" w:lineRule="atLeast"/>
        <w:ind w:left="0"/>
        <w:jc w:val="center"/>
        <w:rPr>
          <w:rFonts w:cstheme="minorHAnsi"/>
          <w:b/>
          <w:noProof/>
          <w:u w:val="single"/>
          <w:lang w:val="cs-CZ" w:eastAsia="cs-CZ"/>
        </w:rPr>
      </w:pPr>
    </w:p>
    <w:p w:rsidR="00267AC0" w:rsidRPr="004E4606" w:rsidRDefault="00486066" w:rsidP="00267AC0">
      <w:pPr>
        <w:pStyle w:val="Nadpis4"/>
        <w:rPr>
          <w:lang w:val="cs-CZ"/>
        </w:rPr>
      </w:pPr>
      <w:r w:rsidRPr="004E4606">
        <w:rPr>
          <w:lang w:val="cs-CZ"/>
        </w:rPr>
        <w:t xml:space="preserve">PODÁNÍ NÁVRHU </w:t>
      </w:r>
      <w:r w:rsidR="00B64D29">
        <w:rPr>
          <w:lang w:val="cs-CZ"/>
        </w:rPr>
        <w:t>VYSOKĚ ŚKOLY</w:t>
      </w:r>
      <w:r w:rsidRPr="004E4606">
        <w:rPr>
          <w:lang w:val="cs-CZ"/>
        </w:rPr>
        <w:t xml:space="preserve"> NA POVĚŘENÍ ORGANIZAČNÍM ZABEZPEČENÍM REALIZACE HODNOCENÍ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 w:rsidRPr="004E4606">
        <w:rPr>
          <w:rFonts w:cstheme="minorHAnsi"/>
          <w:lang w:val="cs-CZ"/>
        </w:rPr>
        <w:t>Vysok</w:t>
      </w:r>
      <w:r w:rsidR="00AF6CEF">
        <w:rPr>
          <w:rFonts w:cstheme="minorHAnsi"/>
          <w:lang w:val="cs-CZ"/>
        </w:rPr>
        <w:t>á</w:t>
      </w:r>
      <w:r w:rsidRPr="004E4606">
        <w:rPr>
          <w:rFonts w:cstheme="minorHAnsi"/>
          <w:lang w:val="cs-CZ"/>
        </w:rPr>
        <w:t xml:space="preserve"> škol</w:t>
      </w:r>
      <w:r w:rsidR="00AF6CEF">
        <w:rPr>
          <w:rFonts w:cstheme="minorHAnsi"/>
          <w:lang w:val="cs-CZ"/>
        </w:rPr>
        <w:t>a</w:t>
      </w:r>
      <w:r>
        <w:rPr>
          <w:rFonts w:cstheme="minorHAnsi"/>
          <w:lang w:val="cs-CZ"/>
        </w:rPr>
        <w:t xml:space="preserve">, </w:t>
      </w:r>
      <w:r w:rsidRPr="00AF7001">
        <w:rPr>
          <w:rFonts w:cstheme="minorHAnsi"/>
          <w:lang w:val="cs-CZ"/>
        </w:rPr>
        <w:t>s výjimkou vysoké školy státní vojenské</w:t>
      </w:r>
      <w:r w:rsidR="00FE09EE" w:rsidRPr="00AF7001">
        <w:rPr>
          <w:rFonts w:cstheme="minorHAnsi"/>
          <w:lang w:val="cs-CZ"/>
        </w:rPr>
        <w:t>,</w:t>
      </w:r>
      <w:r w:rsidRPr="004E4606">
        <w:rPr>
          <w:rFonts w:cstheme="minorHAnsi"/>
          <w:lang w:val="cs-CZ"/>
        </w:rPr>
        <w:t xml:space="preserve"> m</w:t>
      </w:r>
      <w:r w:rsidR="00AF6CEF">
        <w:rPr>
          <w:rFonts w:cstheme="minorHAnsi"/>
          <w:lang w:val="cs-CZ"/>
        </w:rPr>
        <w:t>ůže</w:t>
      </w:r>
      <w:r w:rsidRPr="004E4606">
        <w:rPr>
          <w:rFonts w:cstheme="minorHAnsi"/>
          <w:lang w:val="cs-CZ"/>
        </w:rPr>
        <w:t xml:space="preserve"> podat poskytovateli návrh na pověření organizačním zabezpečením realizace </w:t>
      </w:r>
      <w:r w:rsidR="00AF6CEF">
        <w:rPr>
          <w:rFonts w:cstheme="minorHAnsi"/>
          <w:lang w:val="cs-CZ"/>
        </w:rPr>
        <w:t xml:space="preserve">svého </w:t>
      </w:r>
      <w:r w:rsidRPr="004E4606">
        <w:rPr>
          <w:rFonts w:cstheme="minorHAnsi"/>
          <w:lang w:val="cs-CZ"/>
        </w:rPr>
        <w:t>ho</w:t>
      </w:r>
      <w:r w:rsidR="00374DE6">
        <w:rPr>
          <w:rFonts w:cstheme="minorHAnsi"/>
          <w:lang w:val="cs-CZ"/>
        </w:rPr>
        <w:t>dnocení dle M</w:t>
      </w:r>
      <w:r w:rsidR="00A02AA4">
        <w:rPr>
          <w:rFonts w:cstheme="minorHAnsi"/>
          <w:lang w:val="cs-CZ"/>
        </w:rPr>
        <w:t xml:space="preserve">etodiky pro </w:t>
      </w:r>
      <w:r w:rsidR="00374DE6">
        <w:rPr>
          <w:rFonts w:cstheme="minorHAnsi"/>
          <w:lang w:val="cs-CZ"/>
        </w:rPr>
        <w:t>VŠ (dále jen „</w:t>
      </w:r>
      <w:r w:rsidRPr="004E4606">
        <w:rPr>
          <w:rFonts w:cstheme="minorHAnsi"/>
          <w:lang w:val="cs-CZ"/>
        </w:rPr>
        <w:t>návrh na pověření“) a provedení hodnocení prostřednictvím MEP.</w:t>
      </w:r>
    </w:p>
    <w:p w:rsidR="00267AC0" w:rsidRPr="00E75454" w:rsidRDefault="00267AC0" w:rsidP="00267AC0">
      <w:pPr>
        <w:pStyle w:val="Odstavecseseznamem"/>
        <w:spacing w:line="240" w:lineRule="atLeast"/>
        <w:jc w:val="both"/>
        <w:rPr>
          <w:rFonts w:cstheme="minorHAnsi"/>
          <w:noProof/>
          <w:lang w:val="cs-CZ" w:eastAsia="cs-CZ"/>
        </w:rPr>
      </w:pPr>
    </w:p>
    <w:p w:rsidR="00267AC0" w:rsidRPr="004E4606" w:rsidRDefault="00267AC0" w:rsidP="00267AC0">
      <w:pPr>
        <w:spacing w:line="240" w:lineRule="atLeast"/>
        <w:jc w:val="both"/>
        <w:rPr>
          <w:rFonts w:cstheme="minorHAnsi"/>
          <w:noProof/>
          <w:lang w:val="cs-CZ" w:eastAsia="cs-CZ"/>
        </w:rPr>
      </w:pPr>
      <w:r w:rsidRPr="004E4606">
        <w:rPr>
          <w:rFonts w:cstheme="minorHAnsi"/>
          <w:noProof/>
          <w:lang w:val="cs-CZ" w:eastAsia="cs-CZ"/>
        </w:rPr>
        <w:t>Návrh musí obsahovat zejména:</w:t>
      </w:r>
    </w:p>
    <w:p w:rsidR="009E45C6" w:rsidRDefault="00267AC0" w:rsidP="009E45C6">
      <w:pPr>
        <w:pStyle w:val="Odstavecseseznamem"/>
        <w:numPr>
          <w:ilvl w:val="0"/>
          <w:numId w:val="35"/>
        </w:numPr>
        <w:spacing w:line="240" w:lineRule="atLeast"/>
        <w:jc w:val="both"/>
        <w:rPr>
          <w:rFonts w:cstheme="minorHAnsi"/>
          <w:noProof/>
          <w:lang w:val="cs-CZ" w:eastAsia="cs-CZ"/>
        </w:rPr>
      </w:pPr>
      <w:r w:rsidRPr="009E45C6">
        <w:rPr>
          <w:rFonts w:cstheme="minorHAnsi"/>
          <w:noProof/>
          <w:lang w:val="cs-CZ" w:eastAsia="cs-CZ"/>
        </w:rPr>
        <w:t>Návrh složení MEP</w:t>
      </w:r>
    </w:p>
    <w:p w:rsidR="009E45C6" w:rsidRDefault="00267AC0" w:rsidP="009E45C6">
      <w:pPr>
        <w:pStyle w:val="Odstavecseseznamem"/>
        <w:numPr>
          <w:ilvl w:val="0"/>
          <w:numId w:val="35"/>
        </w:numPr>
        <w:spacing w:line="240" w:lineRule="atLeast"/>
        <w:jc w:val="both"/>
        <w:rPr>
          <w:rFonts w:cstheme="minorHAnsi"/>
          <w:noProof/>
          <w:lang w:val="cs-CZ" w:eastAsia="cs-CZ"/>
        </w:rPr>
      </w:pPr>
      <w:r w:rsidRPr="009E45C6">
        <w:rPr>
          <w:rFonts w:cstheme="minorHAnsi"/>
          <w:noProof/>
          <w:lang w:val="cs-CZ" w:eastAsia="cs-CZ"/>
        </w:rPr>
        <w:t xml:space="preserve">Statut a jednací řád MEP odpovídající vzorovému statutu a jednacímu řádu </w:t>
      </w:r>
    </w:p>
    <w:p w:rsidR="009E45C6" w:rsidRDefault="00267AC0" w:rsidP="009E45C6">
      <w:pPr>
        <w:pStyle w:val="Odstavecseseznamem"/>
        <w:numPr>
          <w:ilvl w:val="0"/>
          <w:numId w:val="35"/>
        </w:numPr>
        <w:spacing w:line="240" w:lineRule="atLeast"/>
        <w:jc w:val="both"/>
        <w:rPr>
          <w:rFonts w:cstheme="minorHAnsi"/>
          <w:noProof/>
          <w:lang w:val="cs-CZ" w:eastAsia="cs-CZ"/>
        </w:rPr>
      </w:pPr>
      <w:r w:rsidRPr="009E45C6">
        <w:rPr>
          <w:rFonts w:cstheme="minorHAnsi"/>
          <w:noProof/>
          <w:lang w:val="cs-CZ" w:eastAsia="cs-CZ"/>
        </w:rPr>
        <w:t>Harmonogram hodnocení vysoké školy odpovídající rámcovému harmonogramu</w:t>
      </w:r>
    </w:p>
    <w:p w:rsidR="00267AC0" w:rsidRPr="009E45C6" w:rsidRDefault="00267AC0" w:rsidP="009E45C6">
      <w:pPr>
        <w:pStyle w:val="Odstavecseseznamem"/>
        <w:numPr>
          <w:ilvl w:val="0"/>
          <w:numId w:val="35"/>
        </w:numPr>
        <w:spacing w:line="240" w:lineRule="atLeast"/>
        <w:jc w:val="both"/>
        <w:rPr>
          <w:rFonts w:cstheme="minorHAnsi"/>
          <w:noProof/>
          <w:lang w:val="cs-CZ" w:eastAsia="cs-CZ"/>
        </w:rPr>
      </w:pPr>
      <w:r w:rsidRPr="009E45C6">
        <w:rPr>
          <w:rFonts w:cstheme="minorHAnsi"/>
          <w:noProof/>
          <w:lang w:val="cs-CZ" w:eastAsia="cs-CZ"/>
        </w:rPr>
        <w:t>Návrh výdajů na organizační zabezpečení realizace hodnocení vysoké školy</w:t>
      </w:r>
    </w:p>
    <w:p w:rsidR="009E45C6" w:rsidRDefault="009E45C6" w:rsidP="009E45C6">
      <w:pPr>
        <w:spacing w:line="240" w:lineRule="atLeast"/>
        <w:jc w:val="both"/>
        <w:rPr>
          <w:rFonts w:cstheme="minorHAnsi"/>
          <w:noProof/>
          <w:lang w:val="cs-CZ" w:eastAsia="cs-CZ"/>
        </w:rPr>
      </w:pPr>
    </w:p>
    <w:p w:rsidR="00267AC0" w:rsidRPr="009E45C6" w:rsidRDefault="00267AC0" w:rsidP="009E45C6">
      <w:pPr>
        <w:spacing w:line="240" w:lineRule="atLeast"/>
        <w:jc w:val="both"/>
        <w:rPr>
          <w:rFonts w:cstheme="minorHAnsi"/>
          <w:noProof/>
          <w:lang w:val="cs-CZ" w:eastAsia="cs-CZ"/>
        </w:rPr>
      </w:pPr>
      <w:r w:rsidRPr="009E45C6">
        <w:rPr>
          <w:rFonts w:cstheme="minorHAnsi"/>
          <w:noProof/>
          <w:lang w:val="cs-CZ" w:eastAsia="cs-CZ"/>
        </w:rPr>
        <w:t>Poskytovatel návrh na pověření posoudí, případně si vyžádá doplnění či úpravu podkladů, a následně vysokou školu pověří organizačním zabezpečením realizace hodnocení dle M</w:t>
      </w:r>
      <w:r w:rsidR="00A02AA4">
        <w:rPr>
          <w:rFonts w:cstheme="minorHAnsi"/>
          <w:noProof/>
          <w:lang w:val="cs-CZ" w:eastAsia="cs-CZ"/>
        </w:rPr>
        <w:t xml:space="preserve">etodiky pro </w:t>
      </w:r>
      <w:r w:rsidRPr="009E45C6">
        <w:rPr>
          <w:rFonts w:cstheme="minorHAnsi"/>
          <w:noProof/>
          <w:lang w:val="cs-CZ" w:eastAsia="cs-CZ"/>
        </w:rPr>
        <w:t xml:space="preserve">VŠ (dále jen </w:t>
      </w:r>
      <w:r w:rsidRPr="009E45C6">
        <w:rPr>
          <w:rFonts w:cstheme="minorHAnsi"/>
          <w:noProof/>
          <w:lang w:val="cs-CZ" w:eastAsia="cs-CZ"/>
        </w:rPr>
        <w:lastRenderedPageBreak/>
        <w:t>„pověření“). Pověření obsahuje složení MEP, jeho statut a jednací řád a harmonogram hodnocení vysoké školy.</w:t>
      </w:r>
    </w:p>
    <w:p w:rsidR="00267AC0" w:rsidRPr="00E75454" w:rsidRDefault="00267AC0" w:rsidP="00267AC0">
      <w:pPr>
        <w:pStyle w:val="Odstavecseseznamem"/>
        <w:spacing w:line="240" w:lineRule="atLeast"/>
        <w:jc w:val="both"/>
        <w:rPr>
          <w:rFonts w:cstheme="minorHAnsi"/>
          <w:noProof/>
          <w:lang w:val="cs-CZ" w:eastAsia="cs-CZ"/>
        </w:rPr>
      </w:pPr>
    </w:p>
    <w:p w:rsidR="00267AC0" w:rsidRPr="00E92CD4" w:rsidRDefault="00267AC0" w:rsidP="00E92CD4">
      <w:pPr>
        <w:spacing w:line="240" w:lineRule="atLeast"/>
        <w:jc w:val="both"/>
        <w:rPr>
          <w:rFonts w:cstheme="minorHAnsi"/>
          <w:noProof/>
          <w:lang w:val="cs-CZ" w:eastAsia="cs-CZ"/>
        </w:rPr>
      </w:pPr>
      <w:r w:rsidRPr="00E92CD4">
        <w:rPr>
          <w:rFonts w:cstheme="minorHAnsi"/>
          <w:noProof/>
          <w:lang w:val="cs-CZ" w:eastAsia="cs-CZ"/>
        </w:rPr>
        <w:t>Složení MEP, jeho statut a jednací řád jsou zveřejněny před zahájením hodnocení vysoké školy na webové stránce poskytovatele.</w:t>
      </w:r>
    </w:p>
    <w:p w:rsidR="00267AC0" w:rsidRPr="00E75454" w:rsidRDefault="00267AC0" w:rsidP="00267AC0">
      <w:pPr>
        <w:pStyle w:val="Odstavecseseznamem"/>
        <w:spacing w:line="240" w:lineRule="atLeast"/>
        <w:jc w:val="both"/>
        <w:rPr>
          <w:rFonts w:cstheme="minorHAnsi"/>
          <w:noProof/>
          <w:lang w:val="cs-CZ" w:eastAsia="cs-CZ"/>
        </w:rPr>
      </w:pPr>
    </w:p>
    <w:p w:rsidR="00267AC0" w:rsidRPr="00E92CD4" w:rsidRDefault="00267AC0" w:rsidP="00E92CD4">
      <w:pPr>
        <w:spacing w:line="240" w:lineRule="atLeast"/>
        <w:jc w:val="both"/>
        <w:rPr>
          <w:rFonts w:cstheme="minorHAnsi"/>
          <w:noProof/>
          <w:lang w:val="cs-CZ" w:eastAsia="cs-CZ"/>
        </w:rPr>
      </w:pPr>
      <w:r w:rsidRPr="00E92CD4">
        <w:rPr>
          <w:rFonts w:cstheme="minorHAnsi"/>
          <w:noProof/>
          <w:lang w:val="cs-CZ" w:eastAsia="cs-CZ"/>
        </w:rPr>
        <w:t>Pokud vysoká škola o pověření nepožádá nebo nesplní podmínky pro pověření, její hodnocení organizačně zabezpečí poskytovatel.</w:t>
      </w:r>
    </w:p>
    <w:p w:rsidR="009E45C6" w:rsidRDefault="009E45C6" w:rsidP="00267AC0">
      <w:pPr>
        <w:pStyle w:val="Odstavecseseznamem"/>
        <w:spacing w:line="240" w:lineRule="atLeast"/>
        <w:jc w:val="both"/>
        <w:rPr>
          <w:rFonts w:cstheme="minorHAnsi"/>
          <w:noProof/>
          <w:lang w:val="cs-CZ" w:eastAsia="cs-CZ"/>
        </w:rPr>
      </w:pPr>
    </w:p>
    <w:p w:rsidR="009E45C6" w:rsidRPr="00E75454" w:rsidRDefault="009E45C6" w:rsidP="00267AC0">
      <w:pPr>
        <w:pStyle w:val="Odstavecseseznamem"/>
        <w:spacing w:line="240" w:lineRule="atLeast"/>
        <w:jc w:val="both"/>
        <w:rPr>
          <w:rFonts w:cstheme="minorHAnsi"/>
          <w:noProof/>
          <w:lang w:val="cs-CZ" w:eastAsia="cs-CZ"/>
        </w:rPr>
      </w:pPr>
    </w:p>
    <w:p w:rsidR="00267AC0" w:rsidRPr="00E75454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noProof/>
          <w:lang w:val="cs-CZ" w:eastAsia="cs-CZ"/>
        </w:rPr>
      </w:pPr>
    </w:p>
    <w:p w:rsidR="00267AC0" w:rsidRDefault="005C5E47" w:rsidP="00267AC0">
      <w:pPr>
        <w:pStyle w:val="Odstavecseseznamem"/>
        <w:spacing w:line="240" w:lineRule="atLeast"/>
        <w:ind w:left="0"/>
        <w:jc w:val="center"/>
        <w:rPr>
          <w:rFonts w:cstheme="minorHAnsi"/>
          <w:b/>
          <w:noProof/>
          <w:u w:val="single"/>
          <w:lang w:val="cs-CZ" w:eastAsia="cs-CZ"/>
        </w:rPr>
      </w:pPr>
      <w:r w:rsidRPr="00885D3F">
        <w:rPr>
          <w:rFonts w:cstheme="minorHAnsi"/>
          <w:noProof/>
          <w:lang w:val="cs-CZ" w:eastAsia="cs-CZ"/>
        </w:rPr>
        <w:drawing>
          <wp:inline distT="0" distB="0" distL="0" distR="0">
            <wp:extent cx="4348800" cy="34182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645" cy="343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AC0" w:rsidRDefault="00267AC0" w:rsidP="00633D4D">
      <w:pPr>
        <w:pStyle w:val="Odstavecseseznamem"/>
        <w:spacing w:line="240" w:lineRule="atLeast"/>
        <w:ind w:left="0"/>
        <w:rPr>
          <w:rFonts w:cstheme="minorHAnsi"/>
          <w:b/>
          <w:noProof/>
          <w:u w:val="single"/>
          <w:lang w:val="cs-CZ" w:eastAsia="cs-CZ"/>
        </w:rPr>
      </w:pPr>
    </w:p>
    <w:p w:rsidR="00267AC0" w:rsidRDefault="00267AC0" w:rsidP="00267AC0">
      <w:pPr>
        <w:pStyle w:val="Odstavecseseznamem"/>
        <w:spacing w:line="240" w:lineRule="atLeast"/>
        <w:ind w:left="0"/>
        <w:jc w:val="center"/>
        <w:rPr>
          <w:rFonts w:cstheme="minorHAnsi"/>
          <w:b/>
          <w:noProof/>
          <w:u w:val="single"/>
          <w:lang w:val="cs-CZ" w:eastAsia="cs-CZ"/>
        </w:rPr>
      </w:pPr>
    </w:p>
    <w:p w:rsidR="00267AC0" w:rsidRPr="00F4112B" w:rsidRDefault="00267AC0" w:rsidP="00EC0B12">
      <w:pPr>
        <w:pStyle w:val="Nadpis3"/>
        <w:rPr>
          <w:lang w:val="cs-CZ"/>
        </w:rPr>
      </w:pPr>
      <w:bookmarkStart w:id="226" w:name="_Toc7169364"/>
      <w:bookmarkStart w:id="227" w:name="_Toc7772783"/>
      <w:bookmarkStart w:id="228" w:name="_Toc11664154"/>
      <w:r w:rsidRPr="005E264A">
        <w:rPr>
          <w:lang w:val="cs-CZ"/>
        </w:rPr>
        <w:t>REALIZAČNÍ FÁZE HODNOCENÍ</w:t>
      </w:r>
      <w:bookmarkEnd w:id="226"/>
      <w:bookmarkEnd w:id="227"/>
      <w:bookmarkEnd w:id="228"/>
      <w:r w:rsidRPr="005E264A">
        <w:rPr>
          <w:lang w:val="cs-CZ"/>
        </w:rPr>
        <w:t xml:space="preserve"> </w:t>
      </w:r>
    </w:p>
    <w:p w:rsidR="00267AC0" w:rsidRDefault="00267AC0" w:rsidP="00267AC0">
      <w:pPr>
        <w:jc w:val="both"/>
        <w:rPr>
          <w:rFonts w:cstheme="minorHAnsi"/>
          <w:lang w:val="cs-CZ"/>
        </w:rPr>
      </w:pPr>
    </w:p>
    <w:p w:rsidR="00267AC0" w:rsidRPr="00855BB7" w:rsidRDefault="00486066" w:rsidP="00267AC0">
      <w:pPr>
        <w:pStyle w:val="Nadpis4"/>
        <w:rPr>
          <w:lang w:val="cs-CZ"/>
        </w:rPr>
      </w:pPr>
      <w:r w:rsidRPr="00855BB7">
        <w:rPr>
          <w:lang w:val="cs-CZ"/>
        </w:rPr>
        <w:t>HODNOCENÍ MEP</w:t>
      </w:r>
    </w:p>
    <w:p w:rsidR="00267AC0" w:rsidRDefault="00267AC0" w:rsidP="00267AC0">
      <w:pPr>
        <w:spacing w:line="240" w:lineRule="atLeast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Činnost MEP je zahájena jeho ustavením a </w:t>
      </w:r>
      <w:r w:rsidRPr="00FE4F0D">
        <w:rPr>
          <w:rFonts w:cstheme="minorHAnsi"/>
          <w:lang w:val="cs-CZ"/>
        </w:rPr>
        <w:t>jmenováním</w:t>
      </w:r>
      <w:r>
        <w:rPr>
          <w:rFonts w:cstheme="minorHAnsi"/>
          <w:lang w:val="cs-CZ"/>
        </w:rPr>
        <w:t xml:space="preserve"> předsedy. Jednání MEP probíhá per rollam, avšak alespoň jednou se uskuteční osobní jednání na místě (on-site visit).</w:t>
      </w:r>
    </w:p>
    <w:p w:rsidR="00267AC0" w:rsidRDefault="00267AC0" w:rsidP="00267AC0">
      <w:pPr>
        <w:spacing w:line="240" w:lineRule="atLeast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Osobního jednání v sídle hodnocené vysoké školy se kromě členů MEP účastní rektor, prorektoři, zástupci orgánů vysoké školy a zástupci součástí vysoké školy.</w:t>
      </w:r>
    </w:p>
    <w:p w:rsidR="00267AC0" w:rsidRDefault="00267AC0" w:rsidP="00267AC0">
      <w:pPr>
        <w:spacing w:line="240" w:lineRule="atLeast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Zástupce vysoké školy určí rektor tak, aby mohli členům MEP k písemným podkladům pro hodnocení </w:t>
      </w:r>
      <w:r w:rsidRPr="00344D77">
        <w:rPr>
          <w:rFonts w:cstheme="minorHAnsi"/>
          <w:lang w:val="cs-CZ"/>
        </w:rPr>
        <w:t>poskytnout doplňující informace</w:t>
      </w:r>
      <w:r>
        <w:rPr>
          <w:rFonts w:cstheme="minorHAnsi"/>
          <w:lang w:val="cs-CZ"/>
        </w:rPr>
        <w:t xml:space="preserve"> pro hodnocení vysoké školy v modulech M3 až M5.</w:t>
      </w:r>
    </w:p>
    <w:p w:rsidR="00267AC0" w:rsidRDefault="00267AC0" w:rsidP="00267AC0">
      <w:pPr>
        <w:spacing w:line="240" w:lineRule="atLeast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Členům MEP by měla být předvedena konkrétní </w:t>
      </w:r>
      <w:r w:rsidR="00D30CCD" w:rsidRPr="002461DA">
        <w:rPr>
          <w:rFonts w:cstheme="minorHAnsi"/>
          <w:lang w:val="cs-CZ"/>
        </w:rPr>
        <w:t xml:space="preserve">výzkumná </w:t>
      </w:r>
      <w:r w:rsidRPr="002461DA">
        <w:rPr>
          <w:rFonts w:cstheme="minorHAnsi"/>
          <w:lang w:val="cs-CZ"/>
        </w:rPr>
        <w:t>pracoviště</w:t>
      </w:r>
      <w:r>
        <w:rPr>
          <w:rFonts w:cstheme="minorHAnsi"/>
          <w:lang w:val="cs-CZ"/>
        </w:rPr>
        <w:t>. Členové MEP mohou diskutovat s dalšími zaměstnanci vysoké školy.</w:t>
      </w:r>
    </w:p>
    <w:p w:rsidR="00267AC0" w:rsidRDefault="00267AC0" w:rsidP="00267AC0">
      <w:pPr>
        <w:spacing w:line="240" w:lineRule="atLeast"/>
        <w:jc w:val="both"/>
        <w:rPr>
          <w:rFonts w:cstheme="minorHAnsi"/>
          <w:lang w:val="cs-CZ"/>
        </w:rPr>
      </w:pPr>
    </w:p>
    <w:p w:rsidR="00267AC0" w:rsidRPr="00855BB7" w:rsidRDefault="00486066" w:rsidP="00267AC0">
      <w:pPr>
        <w:pStyle w:val="Nadpis4"/>
        <w:rPr>
          <w:lang w:val="cs-CZ"/>
        </w:rPr>
      </w:pPr>
      <w:r>
        <w:rPr>
          <w:lang w:val="cs-CZ"/>
        </w:rPr>
        <w:t>EVALUAČNÍ Z</w:t>
      </w:r>
      <w:r w:rsidRPr="00855BB7">
        <w:rPr>
          <w:lang w:val="cs-CZ"/>
        </w:rPr>
        <w:t>PRÁVA MEP O HODNOCENÍ VYSOKÉ ŠKOLY</w:t>
      </w:r>
    </w:p>
    <w:p w:rsidR="00267AC0" w:rsidRDefault="00267AC0" w:rsidP="00267AC0">
      <w:pPr>
        <w:spacing w:line="240" w:lineRule="atLeast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Výstupem z hodnocení MEP je evaluační zpráva zpracovaná ve struktuře stanovené v dokumentaci. Návrh evaluační zprávy MEP nejprve obdrží ke stanovisku rektor hodnocené vysoké školy. Součástí stanoviska mohou </w:t>
      </w:r>
      <w:r w:rsidR="0008358A">
        <w:rPr>
          <w:rFonts w:cstheme="minorHAnsi"/>
          <w:lang w:val="cs-CZ"/>
        </w:rPr>
        <w:t xml:space="preserve">být </w:t>
      </w:r>
      <w:r>
        <w:rPr>
          <w:rFonts w:cstheme="minorHAnsi"/>
          <w:lang w:val="cs-CZ"/>
        </w:rPr>
        <w:t>doklady o skutečnostech, které jsou pro hodnocení vysoké školy podstatné</w:t>
      </w:r>
      <w:r w:rsidR="00EA0705">
        <w:rPr>
          <w:rFonts w:cstheme="minorHAnsi"/>
          <w:lang w:val="cs-CZ"/>
        </w:rPr>
        <w:t xml:space="preserve">, </w:t>
      </w:r>
      <w:r w:rsidR="00EA0705">
        <w:rPr>
          <w:rFonts w:cstheme="minorHAnsi"/>
          <w:lang w:val="cs-CZ"/>
        </w:rPr>
        <w:lastRenderedPageBreak/>
        <w:t>avšak MEP je nezohlednil</w:t>
      </w:r>
      <w:r>
        <w:rPr>
          <w:rFonts w:cstheme="minorHAnsi"/>
          <w:lang w:val="cs-CZ"/>
        </w:rPr>
        <w:t xml:space="preserve"> nebo </w:t>
      </w:r>
      <w:r w:rsidR="00EA0705">
        <w:rPr>
          <w:rFonts w:cstheme="minorHAnsi"/>
          <w:lang w:val="cs-CZ"/>
        </w:rPr>
        <w:t xml:space="preserve">je </w:t>
      </w:r>
      <w:r>
        <w:rPr>
          <w:rFonts w:cstheme="minorHAnsi"/>
          <w:lang w:val="cs-CZ"/>
        </w:rPr>
        <w:t>nezohlednil přiměřeně. MEP po úvaze může informace uvedené ve stanovisku v evaluační zprávě zohlednit. Evaluační zpráva je následně postoupena poskytovateli.</w:t>
      </w:r>
    </w:p>
    <w:p w:rsidR="006E561F" w:rsidRDefault="00267AC0" w:rsidP="00267AC0">
      <w:pPr>
        <w:spacing w:line="240" w:lineRule="atLeast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Poskytovatel vyhodnotí úplnost a formální správnost zprávy, </w:t>
      </w:r>
      <w:r w:rsidR="006E561F">
        <w:rPr>
          <w:rFonts w:cstheme="minorHAnsi"/>
          <w:lang w:val="cs-CZ"/>
        </w:rPr>
        <w:t>případně si vyžádá dopracování.</w:t>
      </w:r>
    </w:p>
    <w:p w:rsidR="00E92CD4" w:rsidRDefault="00E92CD4" w:rsidP="00267AC0">
      <w:pPr>
        <w:spacing w:line="240" w:lineRule="atLeast"/>
        <w:jc w:val="both"/>
        <w:rPr>
          <w:rFonts w:cstheme="minorHAnsi"/>
          <w:lang w:val="cs-CZ"/>
        </w:rPr>
      </w:pPr>
    </w:p>
    <w:p w:rsidR="006E561F" w:rsidRPr="0085729A" w:rsidRDefault="00D80361" w:rsidP="006E561F">
      <w:pPr>
        <w:pStyle w:val="Nadpis4"/>
        <w:rPr>
          <w:lang w:val="cs-CZ"/>
        </w:rPr>
      </w:pPr>
      <w:r>
        <w:rPr>
          <w:lang w:val="cs-CZ"/>
        </w:rPr>
        <w:t>KONSOLIDACE ZPRÁV MEP GRÉMIEM POSKYTOVATELE</w:t>
      </w:r>
    </w:p>
    <w:p w:rsidR="00267AC0" w:rsidRDefault="00D80361" w:rsidP="00267AC0">
      <w:pPr>
        <w:spacing w:line="240" w:lineRule="atLeast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Za účelem sjednocení přístupu jednotlivých MEP</w:t>
      </w:r>
      <w:r w:rsidR="005C5E47">
        <w:rPr>
          <w:rFonts w:cstheme="minorHAnsi"/>
          <w:lang w:val="cs-CZ"/>
        </w:rPr>
        <w:t xml:space="preserve"> k hodnocení</w:t>
      </w:r>
      <w:r>
        <w:rPr>
          <w:rFonts w:cstheme="minorHAnsi"/>
          <w:lang w:val="cs-CZ"/>
        </w:rPr>
        <w:t xml:space="preserve"> </w:t>
      </w:r>
      <w:r w:rsidR="00AF7001">
        <w:rPr>
          <w:rFonts w:cstheme="minorHAnsi"/>
          <w:lang w:val="cs-CZ"/>
        </w:rPr>
        <w:t>může</w:t>
      </w:r>
      <w:r>
        <w:rPr>
          <w:rFonts w:cstheme="minorHAnsi"/>
          <w:lang w:val="cs-CZ"/>
        </w:rPr>
        <w:t xml:space="preserve"> poskytovatel </w:t>
      </w:r>
      <w:r w:rsidR="00AF7001">
        <w:rPr>
          <w:rFonts w:cstheme="minorHAnsi"/>
          <w:lang w:val="cs-CZ"/>
        </w:rPr>
        <w:t xml:space="preserve">zřídit </w:t>
      </w:r>
      <w:r w:rsidR="005C5E47">
        <w:rPr>
          <w:rFonts w:cstheme="minorHAnsi"/>
          <w:lang w:val="cs-CZ"/>
        </w:rPr>
        <w:t>grémium</w:t>
      </w:r>
      <w:r>
        <w:rPr>
          <w:rFonts w:cstheme="minorHAnsi"/>
          <w:lang w:val="cs-CZ"/>
        </w:rPr>
        <w:t xml:space="preserve">, jehož úkolem </w:t>
      </w:r>
      <w:r w:rsidR="005C5E47">
        <w:rPr>
          <w:rFonts w:cstheme="minorHAnsi"/>
          <w:lang w:val="cs-CZ"/>
        </w:rPr>
        <w:t xml:space="preserve">je </w:t>
      </w:r>
      <w:r>
        <w:rPr>
          <w:rFonts w:cstheme="minorHAnsi"/>
          <w:lang w:val="cs-CZ"/>
        </w:rPr>
        <w:t xml:space="preserve">ověření evaluační zprávy MEP z hlediska souladu bodového a </w:t>
      </w:r>
      <w:r w:rsidR="00AF7001">
        <w:rPr>
          <w:rFonts w:cstheme="minorHAnsi"/>
          <w:lang w:val="cs-CZ"/>
        </w:rPr>
        <w:t>slov</w:t>
      </w:r>
      <w:r>
        <w:rPr>
          <w:rFonts w:cstheme="minorHAnsi"/>
          <w:lang w:val="cs-CZ"/>
        </w:rPr>
        <w:t>ního hodnocení</w:t>
      </w:r>
      <w:r w:rsidR="005C5E47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>s </w:t>
      </w:r>
      <w:r w:rsidR="005C5E47">
        <w:rPr>
          <w:rFonts w:cstheme="minorHAnsi"/>
          <w:lang w:val="cs-CZ"/>
        </w:rPr>
        <w:t>přihlédnutím</w:t>
      </w:r>
      <w:r>
        <w:rPr>
          <w:rFonts w:cstheme="minorHAnsi"/>
          <w:lang w:val="cs-CZ"/>
        </w:rPr>
        <w:t xml:space="preserve"> </w:t>
      </w:r>
      <w:r w:rsidR="005C5E47">
        <w:rPr>
          <w:rFonts w:cstheme="minorHAnsi"/>
          <w:lang w:val="cs-CZ"/>
        </w:rPr>
        <w:t>též k referenci</w:t>
      </w:r>
      <w:r w:rsidR="001C2A4C">
        <w:rPr>
          <w:rFonts w:cstheme="minorHAnsi"/>
          <w:lang w:val="cs-CZ"/>
        </w:rPr>
        <w:t xml:space="preserve"> zástupce </w:t>
      </w:r>
      <w:r w:rsidR="001C2A4C" w:rsidRPr="002461DA">
        <w:rPr>
          <w:rFonts w:cstheme="minorHAnsi"/>
          <w:lang w:val="cs-CZ"/>
        </w:rPr>
        <w:t>poskytovatele</w:t>
      </w:r>
      <w:r>
        <w:rPr>
          <w:rFonts w:cstheme="minorHAnsi"/>
          <w:lang w:val="cs-CZ"/>
        </w:rPr>
        <w:t xml:space="preserve"> v MEP </w:t>
      </w:r>
      <w:r w:rsidR="005C5E47">
        <w:rPr>
          <w:rFonts w:cstheme="minorHAnsi"/>
          <w:lang w:val="cs-CZ"/>
        </w:rPr>
        <w:t>o </w:t>
      </w:r>
      <w:r>
        <w:rPr>
          <w:rFonts w:cstheme="minorHAnsi"/>
          <w:lang w:val="cs-CZ"/>
        </w:rPr>
        <w:t>průběhu hodnocení.</w:t>
      </w:r>
      <w:r w:rsidR="005C5E47">
        <w:rPr>
          <w:rFonts w:cstheme="minorHAnsi"/>
          <w:lang w:val="cs-CZ"/>
        </w:rPr>
        <w:t xml:space="preserve"> Grémium je složeno ze zástupců KHV, </w:t>
      </w:r>
      <w:r w:rsidR="00AF7001">
        <w:rPr>
          <w:rFonts w:cstheme="minorHAnsi"/>
          <w:lang w:val="cs-CZ"/>
        </w:rPr>
        <w:t>České konference rektorů</w:t>
      </w:r>
      <w:r w:rsidR="005C5E47">
        <w:rPr>
          <w:rFonts w:cstheme="minorHAnsi"/>
          <w:lang w:val="cs-CZ"/>
        </w:rPr>
        <w:t xml:space="preserve"> a zástupců </w:t>
      </w:r>
      <w:r w:rsidR="004170D4">
        <w:rPr>
          <w:rFonts w:cstheme="minorHAnsi"/>
          <w:lang w:val="cs-CZ"/>
        </w:rPr>
        <w:t>poskytovatele</w:t>
      </w:r>
      <w:r w:rsidR="00AF7001">
        <w:rPr>
          <w:rFonts w:cstheme="minorHAnsi"/>
          <w:lang w:val="cs-CZ"/>
        </w:rPr>
        <w:t>. Výstupem grémia je konsolidovaná zpráva MEP.</w:t>
      </w:r>
    </w:p>
    <w:p w:rsidR="005C5E47" w:rsidRDefault="005C5E47" w:rsidP="00267AC0">
      <w:pPr>
        <w:spacing w:line="240" w:lineRule="atLeast"/>
        <w:jc w:val="both"/>
        <w:rPr>
          <w:rFonts w:cstheme="minorHAnsi"/>
          <w:lang w:val="cs-CZ"/>
        </w:rPr>
      </w:pPr>
    </w:p>
    <w:p w:rsidR="00267AC0" w:rsidRPr="0085729A" w:rsidRDefault="00486066" w:rsidP="00267AC0">
      <w:pPr>
        <w:pStyle w:val="Nadpis4"/>
        <w:rPr>
          <w:lang w:val="cs-CZ"/>
        </w:rPr>
      </w:pPr>
      <w:r w:rsidRPr="0085729A">
        <w:rPr>
          <w:lang w:val="cs-CZ"/>
        </w:rPr>
        <w:t>PROTOKOL O HODNOCENÍ VYSOKÉ ŠKOLY POSKYTOVATELEM</w:t>
      </w:r>
    </w:p>
    <w:p w:rsidR="00267AC0" w:rsidRPr="00C77A69" w:rsidRDefault="00267AC0" w:rsidP="00267AC0">
      <w:pPr>
        <w:spacing w:line="240" w:lineRule="atLeast"/>
        <w:jc w:val="both"/>
        <w:rPr>
          <w:rFonts w:cstheme="minorHAnsi"/>
          <w:lang w:val="cs-CZ"/>
        </w:rPr>
      </w:pPr>
      <w:r w:rsidRPr="0085729A">
        <w:rPr>
          <w:rFonts w:cstheme="minorHAnsi"/>
          <w:lang w:val="cs-CZ"/>
        </w:rPr>
        <w:t xml:space="preserve">Poskytovatel zpracuje protokol o hodnocení vysoké školy poskytovatelem (protokol I), jehož součástí je </w:t>
      </w:r>
      <w:r w:rsidR="00AF7001">
        <w:rPr>
          <w:rFonts w:cstheme="minorHAnsi"/>
          <w:lang w:val="cs-CZ"/>
        </w:rPr>
        <w:t xml:space="preserve">zpráva MEP, případně </w:t>
      </w:r>
      <w:r w:rsidR="00D80361">
        <w:rPr>
          <w:rFonts w:cstheme="minorHAnsi"/>
          <w:lang w:val="cs-CZ"/>
        </w:rPr>
        <w:t xml:space="preserve">konsolidovaná </w:t>
      </w:r>
      <w:r w:rsidRPr="0085729A">
        <w:rPr>
          <w:rFonts w:cstheme="minorHAnsi"/>
          <w:lang w:val="cs-CZ"/>
        </w:rPr>
        <w:t>zpráva MEP. Protokol I, obsahující hodnocení modulů M3-M5, je p</w:t>
      </w:r>
      <w:r>
        <w:rPr>
          <w:rFonts w:cstheme="minorHAnsi"/>
          <w:lang w:val="cs-CZ"/>
        </w:rPr>
        <w:t>odkladem pro společné jednání o </w:t>
      </w:r>
      <w:r w:rsidRPr="0085729A">
        <w:rPr>
          <w:rFonts w:cstheme="minorHAnsi"/>
          <w:lang w:val="cs-CZ"/>
        </w:rPr>
        <w:t>hodnocení vysoké školy stanovené v části 4. Metodiky 2017+.</w:t>
      </w:r>
    </w:p>
    <w:p w:rsidR="00267AC0" w:rsidRPr="009D0A32" w:rsidRDefault="00267AC0" w:rsidP="00267AC0">
      <w:pPr>
        <w:spacing w:line="240" w:lineRule="atLeast"/>
        <w:jc w:val="both"/>
        <w:rPr>
          <w:rFonts w:cstheme="minorHAnsi"/>
          <w:b/>
          <w:lang w:val="cs-CZ"/>
        </w:rPr>
      </w:pPr>
    </w:p>
    <w:p w:rsidR="00267AC0" w:rsidRPr="0091414F" w:rsidRDefault="00486066" w:rsidP="00267AC0">
      <w:pPr>
        <w:pStyle w:val="Nadpis4"/>
        <w:rPr>
          <w:lang w:val="cs-CZ"/>
        </w:rPr>
      </w:pPr>
      <w:bookmarkStart w:id="229" w:name="_Toc472419955"/>
      <w:r w:rsidRPr="0091414F">
        <w:rPr>
          <w:lang w:val="cs-CZ"/>
        </w:rPr>
        <w:t>PROJEDNÁNÍ VÝSLEDKU HODNOCEN</w:t>
      </w:r>
      <w:bookmarkEnd w:id="229"/>
      <w:r w:rsidRPr="0091414F">
        <w:rPr>
          <w:lang w:val="cs-CZ"/>
        </w:rPr>
        <w:t>Í</w:t>
      </w:r>
    </w:p>
    <w:p w:rsidR="00267AC0" w:rsidRPr="0091414F" w:rsidRDefault="00267AC0" w:rsidP="00267AC0">
      <w:pPr>
        <w:jc w:val="both"/>
        <w:rPr>
          <w:rFonts w:cstheme="minorHAnsi"/>
          <w:lang w:val="cs-CZ"/>
        </w:rPr>
      </w:pPr>
      <w:r w:rsidRPr="0091414F">
        <w:rPr>
          <w:rFonts w:cstheme="minorHAnsi"/>
          <w:lang w:val="cs-CZ"/>
        </w:rPr>
        <w:t>Kompletní výsledky hodnocení jsou projednány v rámci společného jednání mezi poskytovatelem, Radou pro výzkum, vývoj a inovace a Českou konferencí</w:t>
      </w:r>
      <w:r>
        <w:rPr>
          <w:rFonts w:cstheme="minorHAnsi"/>
          <w:lang w:val="cs-CZ"/>
        </w:rPr>
        <w:t xml:space="preserve"> rektorů.</w:t>
      </w:r>
    </w:p>
    <w:p w:rsidR="00267AC0" w:rsidRPr="0091414F" w:rsidRDefault="00267AC0" w:rsidP="00267AC0">
      <w:pPr>
        <w:jc w:val="both"/>
        <w:rPr>
          <w:rFonts w:cstheme="minorHAnsi"/>
          <w:lang w:val="cs-CZ"/>
        </w:rPr>
      </w:pPr>
      <w:r w:rsidRPr="0091414F">
        <w:rPr>
          <w:rFonts w:cstheme="minorHAnsi"/>
          <w:lang w:val="cs-CZ"/>
        </w:rPr>
        <w:t>O výsledku hodnocení každé hodnocené vysoké školy zpracuje poskytovatel protokol (protokol II), obsahující kompletní hodnocení všech modulů. V protokolu II jsou uvedeny informace o tom, jak byla vysoká škola hodnocena a s jakým výsledkem, včetně odůvodnění. Výsledek hodnocení a doporučení z něho vyplývající bude projednán s  vedením hodnocené vysoké školy.</w:t>
      </w:r>
    </w:p>
    <w:p w:rsidR="009E45C6" w:rsidRDefault="00267AC0" w:rsidP="00267AC0">
      <w:pPr>
        <w:jc w:val="both"/>
        <w:rPr>
          <w:rFonts w:cstheme="minorHAnsi"/>
          <w:lang w:val="cs-CZ"/>
        </w:rPr>
      </w:pPr>
      <w:r w:rsidRPr="0091414F">
        <w:rPr>
          <w:rFonts w:cstheme="minorHAnsi"/>
          <w:lang w:val="cs-CZ"/>
        </w:rPr>
        <w:t>Proti výsledku hodnocení lze podat poskytovateli zdůvodněné odvolání a požádat o opakované projednání jejího hodnocení. Pokud toto odvolání shledá poskytovatel odůvodněn</w:t>
      </w:r>
      <w:r>
        <w:rPr>
          <w:rFonts w:cstheme="minorHAnsi"/>
          <w:lang w:val="cs-CZ"/>
        </w:rPr>
        <w:t>ým</w:t>
      </w:r>
      <w:r w:rsidRPr="0091414F">
        <w:rPr>
          <w:rFonts w:cstheme="minorHAnsi"/>
          <w:lang w:val="cs-CZ"/>
        </w:rPr>
        <w:t>, proběhne opakované společné jednání o výsledku hodnocení dotčené vysoké školy.</w:t>
      </w:r>
    </w:p>
    <w:p w:rsidR="00F65572" w:rsidRDefault="00F65572" w:rsidP="00F65572">
      <w:pPr>
        <w:jc w:val="center"/>
        <w:rPr>
          <w:rFonts w:cstheme="minorHAnsi"/>
          <w:lang w:val="cs-CZ"/>
        </w:rPr>
      </w:pPr>
    </w:p>
    <w:p w:rsidR="00E92CD4" w:rsidRDefault="00E92CD4" w:rsidP="00F65572">
      <w:pPr>
        <w:jc w:val="center"/>
        <w:rPr>
          <w:rFonts w:cstheme="minorHAnsi"/>
          <w:lang w:val="cs-CZ"/>
        </w:rPr>
      </w:pPr>
    </w:p>
    <w:p w:rsidR="00F65572" w:rsidRDefault="005C5E47" w:rsidP="00F65572">
      <w:pPr>
        <w:jc w:val="center"/>
        <w:rPr>
          <w:rFonts w:cstheme="minorHAnsi"/>
          <w:lang w:val="cs-CZ"/>
        </w:rPr>
      </w:pPr>
      <w:r>
        <w:rPr>
          <w:rFonts w:cstheme="minorHAnsi"/>
          <w:noProof/>
          <w:lang w:val="cs-CZ" w:eastAsia="cs-CZ"/>
        </w:rPr>
        <w:drawing>
          <wp:inline distT="0" distB="0" distL="0" distR="0">
            <wp:extent cx="3343092" cy="3428474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éma 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479" cy="349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AC0" w:rsidRDefault="00267AC0" w:rsidP="00EC0B12">
      <w:pPr>
        <w:pStyle w:val="Nadpis3"/>
        <w:rPr>
          <w:lang w:val="cs-CZ"/>
        </w:rPr>
      </w:pPr>
      <w:bookmarkStart w:id="230" w:name="_Toc7169362"/>
      <w:bookmarkStart w:id="231" w:name="_Toc7772784"/>
      <w:bookmarkStart w:id="232" w:name="_Toc11664155"/>
      <w:r>
        <w:rPr>
          <w:lang w:val="cs-CZ"/>
        </w:rPr>
        <w:lastRenderedPageBreak/>
        <w:t>RÁMCOVÝ HARMONOGRAM HODNOCENÍ</w:t>
      </w:r>
      <w:bookmarkEnd w:id="230"/>
      <w:bookmarkEnd w:id="231"/>
      <w:bookmarkEnd w:id="232"/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Rámcový harmonogram hodnocení obsahuje základní termíny hodnocení, pomocí kterých je sledován řádný průběh hodnocení.</w:t>
      </w:r>
      <w:r w:rsidRPr="004928E6">
        <w:rPr>
          <w:rFonts w:cstheme="minorHAnsi"/>
          <w:lang w:val="cs-CZ"/>
        </w:rPr>
        <w:t xml:space="preserve"> Na základě </w:t>
      </w:r>
      <w:r w:rsidR="00EA0705">
        <w:rPr>
          <w:rFonts w:cstheme="minorHAnsi"/>
          <w:lang w:val="cs-CZ"/>
        </w:rPr>
        <w:t xml:space="preserve">rámcového harmonogramu </w:t>
      </w:r>
      <w:r w:rsidRPr="004928E6">
        <w:rPr>
          <w:rFonts w:cstheme="minorHAnsi"/>
          <w:lang w:val="cs-CZ"/>
        </w:rPr>
        <w:t>je stanoven podrobný harmonogram</w:t>
      </w:r>
      <w:r>
        <w:rPr>
          <w:rFonts w:cstheme="minorHAnsi"/>
          <w:lang w:val="cs-CZ"/>
        </w:rPr>
        <w:t xml:space="preserve"> hodnocení konkrétní vysoké školy. Výjimku z termínu může v odůvodněných případech povolit poskytovatel.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</w:p>
    <w:p w:rsidR="00267AC0" w:rsidRPr="009D0A32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b/>
          <w:lang w:val="cs-CZ"/>
        </w:rPr>
      </w:pPr>
      <w:r w:rsidRPr="008D63FC">
        <w:rPr>
          <w:rFonts w:cstheme="minorHAnsi"/>
          <w:b/>
          <w:lang w:val="cs-CZ"/>
        </w:rPr>
        <w:t>Hodnocení 2020 bude provedeno s </w:t>
      </w:r>
      <w:r w:rsidR="008D63FC">
        <w:rPr>
          <w:rFonts w:cstheme="minorHAnsi"/>
          <w:b/>
          <w:lang w:val="cs-CZ"/>
        </w:rPr>
        <w:t>předpokládaný</w:t>
      </w:r>
      <w:r w:rsidRPr="008D63FC">
        <w:rPr>
          <w:rFonts w:cstheme="minorHAnsi"/>
          <w:b/>
          <w:lang w:val="cs-CZ"/>
        </w:rPr>
        <w:t>mi termíny</w:t>
      </w:r>
      <w:r w:rsidRPr="00F4112B">
        <w:rPr>
          <w:rFonts w:cstheme="minorHAnsi"/>
          <w:b/>
          <w:highlight w:val="yellow"/>
          <w:lang w:val="cs-CZ"/>
        </w:rPr>
        <w:t>: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Zveřejnění dokumentace poskytovatelem </w:t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  <w:t>do 30. 10. 2019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Podání návrhu na pověření vysokou školou </w:t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  <w:t>do 3</w:t>
      </w:r>
      <w:r w:rsidR="006E561F">
        <w:rPr>
          <w:rFonts w:cstheme="minorHAnsi"/>
          <w:lang w:val="cs-CZ"/>
        </w:rPr>
        <w:t>1</w:t>
      </w:r>
      <w:r>
        <w:rPr>
          <w:rFonts w:cstheme="minorHAnsi"/>
          <w:lang w:val="cs-CZ"/>
        </w:rPr>
        <w:t>. 1</w:t>
      </w:r>
      <w:r w:rsidR="006E561F">
        <w:rPr>
          <w:rFonts w:cstheme="minorHAnsi"/>
          <w:lang w:val="cs-CZ"/>
        </w:rPr>
        <w:t>2</w:t>
      </w:r>
      <w:r>
        <w:rPr>
          <w:rFonts w:cstheme="minorHAnsi"/>
          <w:lang w:val="cs-CZ"/>
        </w:rPr>
        <w:t>. 2019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Vyjádře</w:t>
      </w:r>
      <w:r w:rsidR="006E561F">
        <w:rPr>
          <w:rFonts w:cstheme="minorHAnsi"/>
          <w:lang w:val="cs-CZ"/>
        </w:rPr>
        <w:t>ní KHV ke složení MEP</w:t>
      </w:r>
      <w:r w:rsidR="006E561F">
        <w:rPr>
          <w:rFonts w:cstheme="minorHAnsi"/>
          <w:lang w:val="cs-CZ"/>
        </w:rPr>
        <w:tab/>
      </w:r>
      <w:r w:rsidR="006E561F">
        <w:rPr>
          <w:rFonts w:cstheme="minorHAnsi"/>
          <w:lang w:val="cs-CZ"/>
        </w:rPr>
        <w:tab/>
      </w:r>
      <w:r w:rsidR="006E561F">
        <w:rPr>
          <w:rFonts w:cstheme="minorHAnsi"/>
          <w:lang w:val="cs-CZ"/>
        </w:rPr>
        <w:tab/>
      </w:r>
      <w:r w:rsidR="006E561F">
        <w:rPr>
          <w:rFonts w:cstheme="minorHAnsi"/>
          <w:lang w:val="cs-CZ"/>
        </w:rPr>
        <w:tab/>
      </w:r>
      <w:r w:rsidR="006E561F">
        <w:rPr>
          <w:rFonts w:cstheme="minorHAnsi"/>
          <w:lang w:val="cs-CZ"/>
        </w:rPr>
        <w:tab/>
      </w:r>
      <w:r w:rsidR="006E561F">
        <w:rPr>
          <w:rFonts w:cstheme="minorHAnsi"/>
          <w:lang w:val="cs-CZ"/>
        </w:rPr>
        <w:tab/>
        <w:t>do 14</w:t>
      </w:r>
      <w:r>
        <w:rPr>
          <w:rFonts w:cstheme="minorHAnsi"/>
          <w:lang w:val="cs-CZ"/>
        </w:rPr>
        <w:t xml:space="preserve">. </w:t>
      </w:r>
      <w:r w:rsidR="006E561F">
        <w:rPr>
          <w:rFonts w:cstheme="minorHAnsi"/>
          <w:lang w:val="cs-CZ"/>
        </w:rPr>
        <w:t>2</w:t>
      </w:r>
      <w:r>
        <w:rPr>
          <w:rFonts w:cstheme="minorHAnsi"/>
          <w:lang w:val="cs-CZ"/>
        </w:rPr>
        <w:t>. 2020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Pověření vysoké školy poskytovatelem </w:t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  <w:t xml:space="preserve">do </w:t>
      </w:r>
      <w:r w:rsidR="006E561F">
        <w:rPr>
          <w:rFonts w:cstheme="minorHAnsi"/>
          <w:lang w:val="cs-CZ"/>
        </w:rPr>
        <w:t>28. 2</w:t>
      </w:r>
      <w:r>
        <w:rPr>
          <w:rFonts w:cstheme="minorHAnsi"/>
          <w:lang w:val="cs-CZ"/>
        </w:rPr>
        <w:t>. 2020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Odevzdání sebeevaluační zprávy a podkladů pro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hodnocení vysokou školou poskytovateli </w:t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  <w:t xml:space="preserve">do </w:t>
      </w:r>
      <w:r w:rsidR="006E561F">
        <w:rPr>
          <w:rFonts w:cstheme="minorHAnsi"/>
          <w:lang w:val="cs-CZ"/>
        </w:rPr>
        <w:t>31</w:t>
      </w:r>
      <w:r>
        <w:rPr>
          <w:rFonts w:cstheme="minorHAnsi"/>
          <w:lang w:val="cs-CZ"/>
        </w:rPr>
        <w:t xml:space="preserve">. </w:t>
      </w:r>
      <w:r w:rsidR="006E561F">
        <w:rPr>
          <w:rFonts w:cstheme="minorHAnsi"/>
          <w:lang w:val="cs-CZ"/>
        </w:rPr>
        <w:t>3</w:t>
      </w:r>
      <w:r>
        <w:rPr>
          <w:rFonts w:cstheme="minorHAnsi"/>
          <w:lang w:val="cs-CZ"/>
        </w:rPr>
        <w:t>. 2020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Ověření úplnosti podkladů pro hodnocení poskytovatelem </w:t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  <w:t xml:space="preserve">do 13. </w:t>
      </w:r>
      <w:r w:rsidR="006E561F">
        <w:rPr>
          <w:rFonts w:cstheme="minorHAnsi"/>
          <w:lang w:val="cs-CZ"/>
        </w:rPr>
        <w:t>4</w:t>
      </w:r>
      <w:r>
        <w:rPr>
          <w:rFonts w:cstheme="minorHAnsi"/>
          <w:lang w:val="cs-CZ"/>
        </w:rPr>
        <w:t>. 2020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Hodnocení MEP </w:t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 w:rsidR="0066269C">
        <w:rPr>
          <w:rFonts w:cstheme="minorHAnsi"/>
          <w:lang w:val="cs-CZ"/>
        </w:rPr>
        <w:t>do</w:t>
      </w:r>
      <w:r w:rsidR="0065787D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>1</w:t>
      </w:r>
      <w:r w:rsidR="006E561F">
        <w:rPr>
          <w:rFonts w:cstheme="minorHAnsi"/>
          <w:lang w:val="cs-CZ"/>
        </w:rPr>
        <w:t>7</w:t>
      </w:r>
      <w:r>
        <w:rPr>
          <w:rFonts w:cstheme="minorHAnsi"/>
          <w:lang w:val="cs-CZ"/>
        </w:rPr>
        <w:t xml:space="preserve">. </w:t>
      </w:r>
      <w:r w:rsidR="006E561F">
        <w:rPr>
          <w:rFonts w:cstheme="minorHAnsi"/>
          <w:lang w:val="cs-CZ"/>
        </w:rPr>
        <w:t>7</w:t>
      </w:r>
      <w:r>
        <w:rPr>
          <w:rFonts w:cstheme="minorHAnsi"/>
          <w:lang w:val="cs-CZ"/>
        </w:rPr>
        <w:t>. 2020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Předání zprávy z hodnocení MEP poskytovateli </w:t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  <w:t xml:space="preserve">do 30. </w:t>
      </w:r>
      <w:r w:rsidR="006E561F">
        <w:rPr>
          <w:rFonts w:cstheme="minorHAnsi"/>
          <w:lang w:val="cs-CZ"/>
        </w:rPr>
        <w:t>9</w:t>
      </w:r>
      <w:r>
        <w:rPr>
          <w:rFonts w:cstheme="minorHAnsi"/>
          <w:lang w:val="cs-CZ"/>
        </w:rPr>
        <w:t>. 2020</w:t>
      </w:r>
    </w:p>
    <w:p w:rsidR="006E561F" w:rsidRDefault="006E561F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Konsolidace zpráv MEP grémiem </w:t>
      </w:r>
      <w:r w:rsidR="00D80361">
        <w:rPr>
          <w:rFonts w:cstheme="minorHAnsi"/>
          <w:lang w:val="cs-CZ"/>
        </w:rPr>
        <w:t>poskytovatele</w:t>
      </w:r>
      <w:r w:rsidR="00D80361">
        <w:rPr>
          <w:rFonts w:cstheme="minorHAnsi"/>
          <w:lang w:val="cs-CZ"/>
        </w:rPr>
        <w:tab/>
      </w:r>
      <w:r w:rsidR="00D80361"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  <w:t>do 16. 10. 2020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Zpracování protokolu I o hodnocení vysoké školy </w:t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  <w:t xml:space="preserve">do 30. </w:t>
      </w:r>
      <w:r w:rsidR="006E561F">
        <w:rPr>
          <w:rFonts w:cstheme="minorHAnsi"/>
          <w:lang w:val="cs-CZ"/>
        </w:rPr>
        <w:t>10</w:t>
      </w:r>
      <w:r>
        <w:rPr>
          <w:rFonts w:cstheme="minorHAnsi"/>
          <w:lang w:val="cs-CZ"/>
        </w:rPr>
        <w:t>. 2020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Společné jednání poskytovatele, RVVI a ČKR</w:t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ab/>
        <w:t>do 30. 1</w:t>
      </w:r>
      <w:r w:rsidR="006E561F">
        <w:rPr>
          <w:rFonts w:cstheme="minorHAnsi"/>
          <w:lang w:val="cs-CZ"/>
        </w:rPr>
        <w:t>2</w:t>
      </w:r>
      <w:r>
        <w:rPr>
          <w:rFonts w:cstheme="minorHAnsi"/>
          <w:lang w:val="cs-CZ"/>
        </w:rPr>
        <w:t>. 2020</w:t>
      </w:r>
    </w:p>
    <w:p w:rsidR="00267AC0" w:rsidRDefault="00267AC0" w:rsidP="00267AC0">
      <w:pPr>
        <w:pStyle w:val="Odstavecseseznamem"/>
        <w:spacing w:line="240" w:lineRule="atLeast"/>
        <w:ind w:left="0"/>
        <w:jc w:val="both"/>
        <w:rPr>
          <w:rFonts w:cstheme="minorHAnsi"/>
          <w:lang w:val="cs-CZ"/>
        </w:rPr>
      </w:pPr>
      <w:r w:rsidRPr="00733AAF">
        <w:rPr>
          <w:rFonts w:cstheme="minorHAnsi"/>
          <w:lang w:val="cs-CZ"/>
        </w:rPr>
        <w:t>Zpracování protokolu I</w:t>
      </w:r>
      <w:r>
        <w:rPr>
          <w:rFonts w:cstheme="minorHAnsi"/>
          <w:lang w:val="cs-CZ"/>
        </w:rPr>
        <w:t>I</w:t>
      </w:r>
      <w:r w:rsidRPr="00733AAF">
        <w:rPr>
          <w:rFonts w:cstheme="minorHAnsi"/>
          <w:lang w:val="cs-CZ"/>
        </w:rPr>
        <w:t xml:space="preserve"> o hodnocení vysoké školy </w:t>
      </w:r>
      <w:r w:rsidRPr="00733AAF">
        <w:rPr>
          <w:rFonts w:cstheme="minorHAnsi"/>
          <w:lang w:val="cs-CZ"/>
        </w:rPr>
        <w:tab/>
      </w:r>
      <w:r w:rsidRPr="00733AAF">
        <w:rPr>
          <w:rFonts w:cstheme="minorHAnsi"/>
          <w:lang w:val="cs-CZ"/>
        </w:rPr>
        <w:tab/>
      </w:r>
      <w:r w:rsidRPr="00733AAF">
        <w:rPr>
          <w:rFonts w:cstheme="minorHAnsi"/>
          <w:lang w:val="cs-CZ"/>
        </w:rPr>
        <w:tab/>
        <w:t>do 3</w:t>
      </w:r>
      <w:r>
        <w:rPr>
          <w:rFonts w:cstheme="minorHAnsi"/>
          <w:lang w:val="cs-CZ"/>
        </w:rPr>
        <w:t>1</w:t>
      </w:r>
      <w:r w:rsidRPr="00733AAF">
        <w:rPr>
          <w:rFonts w:cstheme="minorHAnsi"/>
          <w:lang w:val="cs-CZ"/>
        </w:rPr>
        <w:t xml:space="preserve">. </w:t>
      </w:r>
      <w:r w:rsidR="006E561F">
        <w:rPr>
          <w:rFonts w:cstheme="minorHAnsi"/>
          <w:lang w:val="cs-CZ"/>
        </w:rPr>
        <w:t>3</w:t>
      </w:r>
      <w:r w:rsidRPr="00733AAF">
        <w:rPr>
          <w:rFonts w:cstheme="minorHAnsi"/>
          <w:lang w:val="cs-CZ"/>
        </w:rPr>
        <w:t>. 202</w:t>
      </w:r>
      <w:r w:rsidR="006E561F">
        <w:rPr>
          <w:rFonts w:cstheme="minorHAnsi"/>
          <w:lang w:val="cs-CZ"/>
        </w:rPr>
        <w:t>1</w:t>
      </w:r>
    </w:p>
    <w:p w:rsidR="0065787D" w:rsidRDefault="0065787D" w:rsidP="0024645F">
      <w:pPr>
        <w:rPr>
          <w:rFonts w:cstheme="minorHAnsi"/>
          <w:lang w:val="cs-CZ"/>
        </w:rPr>
      </w:pPr>
    </w:p>
    <w:p w:rsidR="0024645F" w:rsidRDefault="00267AC0" w:rsidP="00127F84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Následné</w:t>
      </w:r>
      <w:r w:rsidRPr="004E4606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 xml:space="preserve">kompletní </w:t>
      </w:r>
      <w:r w:rsidRPr="004E4606">
        <w:rPr>
          <w:rFonts w:cstheme="minorHAnsi"/>
          <w:lang w:val="cs-CZ"/>
        </w:rPr>
        <w:t xml:space="preserve">hodnocení </w:t>
      </w:r>
      <w:r>
        <w:rPr>
          <w:rFonts w:cstheme="minorHAnsi"/>
          <w:lang w:val="cs-CZ"/>
        </w:rPr>
        <w:t xml:space="preserve">vysoké školy po 5 letech </w:t>
      </w:r>
      <w:r w:rsidRPr="004E4606">
        <w:rPr>
          <w:rFonts w:cstheme="minorHAnsi"/>
          <w:lang w:val="cs-CZ"/>
        </w:rPr>
        <w:t>proběhne v termínech stanovených poskytovatelem.</w:t>
      </w:r>
    </w:p>
    <w:p w:rsidR="0024645F" w:rsidRDefault="0024645F" w:rsidP="0024645F">
      <w:pPr>
        <w:rPr>
          <w:rFonts w:cstheme="minorHAnsi"/>
          <w:lang w:val="cs-CZ"/>
        </w:rPr>
      </w:pPr>
    </w:p>
    <w:p w:rsidR="0024645F" w:rsidRDefault="0024645F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F16612" w:rsidRDefault="00F16612" w:rsidP="0024645F">
      <w:pPr>
        <w:rPr>
          <w:rFonts w:cstheme="minorHAnsi"/>
          <w:lang w:val="cs-CZ"/>
        </w:rPr>
      </w:pPr>
    </w:p>
    <w:p w:rsidR="005C5E47" w:rsidRDefault="005C5E47" w:rsidP="0024645F">
      <w:pPr>
        <w:rPr>
          <w:rFonts w:cstheme="minorHAnsi"/>
          <w:lang w:val="cs-CZ"/>
        </w:rPr>
      </w:pPr>
    </w:p>
    <w:p w:rsidR="0024645F" w:rsidRPr="0024645F" w:rsidRDefault="0024645F" w:rsidP="0024645F">
      <w:pPr>
        <w:pStyle w:val="Nadpis1"/>
      </w:pPr>
      <w:bookmarkStart w:id="233" w:name="_Toc7772785"/>
      <w:bookmarkStart w:id="234" w:name="_Toc11664156"/>
      <w:r w:rsidRPr="0024645F">
        <w:lastRenderedPageBreak/>
        <w:t>ČÁST V</w:t>
      </w:r>
      <w:bookmarkEnd w:id="233"/>
      <w:bookmarkEnd w:id="234"/>
    </w:p>
    <w:p w:rsidR="00954D0A" w:rsidRPr="00954D0A" w:rsidRDefault="00954D0A" w:rsidP="00954D0A">
      <w:pPr>
        <w:pStyle w:val="Odstavecseseznamem"/>
        <w:keepNext/>
        <w:keepLines/>
        <w:numPr>
          <w:ilvl w:val="0"/>
          <w:numId w:val="14"/>
        </w:numPr>
        <w:spacing w:before="200" w:line="276" w:lineRule="auto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26"/>
          <w:lang w:val="cs-CZ"/>
        </w:rPr>
      </w:pPr>
      <w:bookmarkStart w:id="235" w:name="_Toc7771990"/>
      <w:bookmarkStart w:id="236" w:name="_Toc7772028"/>
      <w:bookmarkStart w:id="237" w:name="_Toc7772786"/>
      <w:bookmarkStart w:id="238" w:name="_Toc7772824"/>
      <w:bookmarkStart w:id="239" w:name="_Toc7772894"/>
      <w:bookmarkStart w:id="240" w:name="_Toc7773362"/>
      <w:bookmarkStart w:id="241" w:name="_Toc7773401"/>
      <w:bookmarkStart w:id="242" w:name="_Toc9404028"/>
      <w:bookmarkStart w:id="243" w:name="_Toc9404526"/>
      <w:bookmarkStart w:id="244" w:name="_Toc9404738"/>
      <w:bookmarkStart w:id="245" w:name="_Toc9420202"/>
      <w:bookmarkStart w:id="246" w:name="_Toc11405454"/>
      <w:bookmarkStart w:id="247" w:name="_Toc11408566"/>
      <w:bookmarkStart w:id="248" w:name="_Toc11408721"/>
      <w:bookmarkStart w:id="249" w:name="_Toc11663828"/>
      <w:bookmarkStart w:id="250" w:name="_Toc11663872"/>
      <w:bookmarkStart w:id="251" w:name="_Toc11663910"/>
      <w:bookmarkStart w:id="252" w:name="_Toc11663948"/>
      <w:bookmarkStart w:id="253" w:name="_Toc11664157"/>
      <w:bookmarkStart w:id="254" w:name="_Toc7772788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</w:p>
    <w:p w:rsidR="00267AC0" w:rsidRPr="0024645F" w:rsidRDefault="00267AC0" w:rsidP="00954D0A">
      <w:pPr>
        <w:pStyle w:val="Nadpis2"/>
        <w:numPr>
          <w:ilvl w:val="1"/>
          <w:numId w:val="14"/>
        </w:numPr>
      </w:pPr>
      <w:bookmarkStart w:id="255" w:name="_Toc11664158"/>
      <w:r w:rsidRPr="0024645F">
        <w:t>VYUŽITÍ VÝSLEDKŮ HODNOCENÍ</w:t>
      </w:r>
      <w:bookmarkEnd w:id="254"/>
      <w:bookmarkEnd w:id="255"/>
    </w:p>
    <w:p w:rsidR="00267AC0" w:rsidRDefault="00267AC0" w:rsidP="00267AC0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Výsledek hodnocení je obrazem vysoké školy jako výzkumné organizace poskytující</w:t>
      </w:r>
      <w:r w:rsidR="0099636E">
        <w:rPr>
          <w:rFonts w:cstheme="minorHAnsi"/>
          <w:lang w:val="cs-CZ"/>
        </w:rPr>
        <w:t>m</w:t>
      </w:r>
      <w:r>
        <w:rPr>
          <w:rFonts w:cstheme="minorHAnsi"/>
          <w:lang w:val="cs-CZ"/>
        </w:rPr>
        <w:t xml:space="preserve"> důležité informace orgánům státním správy, je však především zpětnou vazbou pro hodnocenou vysokou školou. Vysoká škola využije výsledek hodnocení k formulování, přijetí a implementaci opatření v nastavení řízení systému a procesů </w:t>
      </w:r>
      <w:r w:rsidR="00D30CCD" w:rsidRPr="002461DA">
        <w:rPr>
          <w:rFonts w:cstheme="minorHAnsi"/>
          <w:lang w:val="cs-CZ"/>
        </w:rPr>
        <w:t>VaVaI</w:t>
      </w:r>
      <w:r>
        <w:rPr>
          <w:rFonts w:cstheme="minorHAnsi"/>
          <w:lang w:val="cs-CZ"/>
        </w:rPr>
        <w:t>. Opatření se stanou součástí strategických dokumentů vysoké školy. Realizovaná opatření a jejich dopad budou předmětem následného kompletního hodnocení vysoké školy po 5 letech.</w:t>
      </w:r>
    </w:p>
    <w:p w:rsidR="00267AC0" w:rsidRDefault="0063469B" w:rsidP="00267AC0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Informace o výsledku hodnocení výzkumných organizací v segmentu vysokých škol bude zveřejněna na internetové adrese poskytovatele.</w:t>
      </w:r>
    </w:p>
    <w:p w:rsidR="00267AC0" w:rsidRDefault="00267AC0" w:rsidP="0024645F">
      <w:pPr>
        <w:jc w:val="both"/>
        <w:rPr>
          <w:rFonts w:cstheme="minorHAnsi"/>
          <w:lang w:val="cs-CZ"/>
        </w:rPr>
      </w:pPr>
      <w:r w:rsidRPr="005407C3">
        <w:rPr>
          <w:rFonts w:cstheme="minorHAnsi"/>
          <w:lang w:val="cs-CZ"/>
        </w:rPr>
        <w:t>Závěry hodnocení jsou rovněž předány k využití Národnímu akreditačnímu úřadu.</w:t>
      </w:r>
    </w:p>
    <w:p w:rsidR="0024645F" w:rsidRPr="0024645F" w:rsidRDefault="0024645F" w:rsidP="0024645F">
      <w:pPr>
        <w:jc w:val="both"/>
        <w:rPr>
          <w:rFonts w:cstheme="minorHAnsi"/>
          <w:lang w:val="cs-CZ"/>
        </w:rPr>
      </w:pPr>
    </w:p>
    <w:p w:rsidR="00267AC0" w:rsidRPr="00864B45" w:rsidRDefault="00486066" w:rsidP="00EC0B12">
      <w:pPr>
        <w:pStyle w:val="Nadpis3"/>
        <w:rPr>
          <w:lang w:val="cs-CZ"/>
        </w:rPr>
      </w:pPr>
      <w:bookmarkStart w:id="256" w:name="_Toc7772789"/>
      <w:bookmarkStart w:id="257" w:name="_Toc11664159"/>
      <w:r w:rsidRPr="0024645F">
        <w:rPr>
          <w:lang w:val="cs-CZ"/>
        </w:rPr>
        <w:t>VYUŽITÍ VÝSLEDKŮ HODNOCE</w:t>
      </w:r>
      <w:r w:rsidR="0099636E">
        <w:rPr>
          <w:lang w:val="cs-CZ"/>
        </w:rPr>
        <w:t>NÍ V SEGMENTU VYSOKÝCH ŠKOL PRO </w:t>
      </w:r>
      <w:r w:rsidRPr="0024645F">
        <w:rPr>
          <w:lang w:val="cs-CZ"/>
        </w:rPr>
        <w:t xml:space="preserve">FINANCOVÁNÍ </w:t>
      </w:r>
      <w:bookmarkEnd w:id="256"/>
      <w:r w:rsidR="00616315">
        <w:rPr>
          <w:lang w:val="cs-CZ"/>
        </w:rPr>
        <w:t>VAVAI</w:t>
      </w:r>
      <w:bookmarkEnd w:id="257"/>
    </w:p>
    <w:p w:rsidR="00267AC0" w:rsidRDefault="00267AC0" w:rsidP="00267AC0">
      <w:pPr>
        <w:jc w:val="both"/>
        <w:rPr>
          <w:rFonts w:cstheme="minorHAnsi"/>
          <w:lang w:val="cs-CZ"/>
        </w:rPr>
      </w:pPr>
      <w:r w:rsidRPr="00864B45">
        <w:rPr>
          <w:rFonts w:cstheme="minorHAnsi"/>
          <w:lang w:val="cs-CZ"/>
        </w:rPr>
        <w:t xml:space="preserve">Hodnocení v segmentu vysokých škol tvoří jeden z podkladů, ze kterého vychází Rada pro výzkum, vývoj a inovace při přípravě návrhu výdajů na </w:t>
      </w:r>
      <w:r w:rsidR="00616315">
        <w:rPr>
          <w:rFonts w:cstheme="minorHAnsi"/>
          <w:lang w:val="cs-CZ"/>
        </w:rPr>
        <w:t>VaVaI</w:t>
      </w:r>
      <w:r>
        <w:rPr>
          <w:rFonts w:cstheme="minorHAnsi"/>
          <w:lang w:val="cs-CZ"/>
        </w:rPr>
        <w:t xml:space="preserve"> pro jednotlivé poskytovatele.</w:t>
      </w:r>
    </w:p>
    <w:p w:rsidR="00267AC0" w:rsidRDefault="00267AC0" w:rsidP="00267AC0">
      <w:pPr>
        <w:jc w:val="both"/>
        <w:rPr>
          <w:rFonts w:cstheme="minorHAnsi"/>
          <w:lang w:val="cs-CZ"/>
        </w:rPr>
      </w:pPr>
    </w:p>
    <w:p w:rsidR="00267AC0" w:rsidRDefault="00486066" w:rsidP="0024645F">
      <w:pPr>
        <w:pStyle w:val="Nadpis4"/>
        <w:rPr>
          <w:lang w:val="cs-CZ"/>
        </w:rPr>
      </w:pPr>
      <w:r w:rsidRPr="004B6135">
        <w:rPr>
          <w:lang w:val="cs-CZ"/>
        </w:rPr>
        <w:t xml:space="preserve">VYUŽITÍ VÝSLEDKŮ HODNOCENÍ V SEGMENTU VYSOKÝCH ŠKOL </w:t>
      </w:r>
      <w:r>
        <w:rPr>
          <w:lang w:val="cs-CZ"/>
        </w:rPr>
        <w:t>PRO FINANCOVÁNÍ VYSOKÉ ŠKOLY</w:t>
      </w:r>
    </w:p>
    <w:p w:rsidR="00524A78" w:rsidRPr="00AF40B6" w:rsidRDefault="00267AC0" w:rsidP="00AF40B6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Výsledek kompletního hodnocení vysoké školy je podkladem pro stanovení výše institucionální podpory na </w:t>
      </w:r>
      <w:r w:rsidR="00616315">
        <w:rPr>
          <w:rFonts w:cstheme="minorHAnsi"/>
          <w:lang w:val="cs-CZ"/>
        </w:rPr>
        <w:t>DKRVO</w:t>
      </w:r>
      <w:r>
        <w:rPr>
          <w:rFonts w:cstheme="minorHAnsi"/>
          <w:lang w:val="cs-CZ"/>
        </w:rPr>
        <w:t xml:space="preserve"> pro příslušnou vysokou školu na období dalších pěti let. Pravidla poskytování institucionální podpory na </w:t>
      </w:r>
      <w:r w:rsidR="00616315">
        <w:rPr>
          <w:rFonts w:cstheme="minorHAnsi"/>
          <w:lang w:val="cs-CZ"/>
        </w:rPr>
        <w:t>DKRVO</w:t>
      </w:r>
      <w:r>
        <w:rPr>
          <w:rFonts w:cstheme="minorHAnsi"/>
          <w:lang w:val="cs-CZ"/>
        </w:rPr>
        <w:t xml:space="preserve"> vys</w:t>
      </w:r>
      <w:bookmarkStart w:id="258" w:name="_GoBack"/>
      <w:bookmarkEnd w:id="258"/>
      <w:r>
        <w:rPr>
          <w:rFonts w:cstheme="minorHAnsi"/>
          <w:lang w:val="cs-CZ"/>
        </w:rPr>
        <w:t xml:space="preserve">okým školám v souladu s principy transparentnosti, předvídatelnosti </w:t>
      </w:r>
      <w:r w:rsidRPr="00DF6DA3">
        <w:rPr>
          <w:rFonts w:cstheme="minorHAnsi"/>
          <w:lang w:val="cs-CZ"/>
        </w:rPr>
        <w:t>a</w:t>
      </w:r>
      <w:r>
        <w:rPr>
          <w:rFonts w:cstheme="minorHAnsi"/>
          <w:lang w:val="cs-CZ"/>
        </w:rPr>
        <w:t xml:space="preserve"> institucionální stability stanoví a zveřejní poskytovatel.</w:t>
      </w:r>
      <w:bookmarkStart w:id="259" w:name="_Toc6993921"/>
      <w:bookmarkStart w:id="260" w:name="_Toc6995010"/>
      <w:bookmarkStart w:id="261" w:name="_Toc7153069"/>
      <w:bookmarkStart w:id="262" w:name="_Toc7162828"/>
      <w:bookmarkStart w:id="263" w:name="_Toc7163666"/>
      <w:bookmarkStart w:id="264" w:name="_Toc7163697"/>
      <w:bookmarkStart w:id="265" w:name="_Toc7169360"/>
      <w:bookmarkEnd w:id="204"/>
      <w:bookmarkEnd w:id="205"/>
      <w:bookmarkEnd w:id="259"/>
      <w:bookmarkEnd w:id="260"/>
      <w:bookmarkEnd w:id="261"/>
      <w:bookmarkEnd w:id="262"/>
      <w:bookmarkEnd w:id="263"/>
      <w:bookmarkEnd w:id="264"/>
      <w:bookmarkEnd w:id="265"/>
    </w:p>
    <w:sectPr w:rsidR="00524A78" w:rsidRPr="00AF40B6" w:rsidSect="00FB1FDD">
      <w:headerReference w:type="default" r:id="rId14"/>
      <w:footerReference w:type="even" r:id="rId15"/>
      <w:footerReference w:type="default" r:id="rId16"/>
      <w:headerReference w:type="first" r:id="rId17"/>
      <w:pgSz w:w="11900" w:h="16840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9B4" w:rsidRDefault="006329B4" w:rsidP="003B1EAE">
      <w:r>
        <w:separator/>
      </w:r>
    </w:p>
    <w:p w:rsidR="006329B4" w:rsidRDefault="006329B4"/>
    <w:p w:rsidR="006329B4" w:rsidRDefault="006329B4" w:rsidP="0002080B"/>
  </w:endnote>
  <w:endnote w:type="continuationSeparator" w:id="0">
    <w:p w:rsidR="006329B4" w:rsidRDefault="006329B4" w:rsidP="003B1EAE">
      <w:r>
        <w:continuationSeparator/>
      </w:r>
    </w:p>
    <w:p w:rsidR="006329B4" w:rsidRDefault="006329B4"/>
    <w:p w:rsidR="006329B4" w:rsidRDefault="006329B4" w:rsidP="0002080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</w:rPr>
      <w:id w:val="-1744402716"/>
      <w:docPartObj>
        <w:docPartGallery w:val="Page Numbers (Bottom of Page)"/>
        <w:docPartUnique/>
      </w:docPartObj>
    </w:sdtPr>
    <w:sdtContent>
      <w:p w:rsidR="003C7774" w:rsidRDefault="00115498" w:rsidP="00F300F9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3C7774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3C7774" w:rsidRDefault="003C7774">
    <w:pPr>
      <w:pStyle w:val="Zpat"/>
    </w:pPr>
  </w:p>
  <w:p w:rsidR="003C7774" w:rsidRDefault="003C7774"/>
  <w:p w:rsidR="003C7774" w:rsidRDefault="003C7774" w:rsidP="0002080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</w:rPr>
      <w:id w:val="1080495757"/>
      <w:docPartObj>
        <w:docPartGallery w:val="Page Numbers (Bottom of Page)"/>
        <w:docPartUnique/>
      </w:docPartObj>
    </w:sdtPr>
    <w:sdtContent>
      <w:p w:rsidR="003C7774" w:rsidRDefault="00115498" w:rsidP="00F300F9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3C7774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855057">
          <w:rPr>
            <w:rStyle w:val="slostrnky"/>
            <w:noProof/>
          </w:rPr>
          <w:t>51</w:t>
        </w:r>
        <w:r>
          <w:rPr>
            <w:rStyle w:val="slostrnky"/>
          </w:rPr>
          <w:fldChar w:fldCharType="end"/>
        </w:r>
      </w:p>
    </w:sdtContent>
  </w:sdt>
  <w:p w:rsidR="003C7774" w:rsidRDefault="003C7774">
    <w:pPr>
      <w:pStyle w:val="Zpat"/>
    </w:pPr>
  </w:p>
  <w:p w:rsidR="003C7774" w:rsidRDefault="003C7774"/>
  <w:p w:rsidR="003C7774" w:rsidRDefault="003C7774" w:rsidP="0002080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9B4" w:rsidRDefault="006329B4" w:rsidP="003B1EAE">
      <w:r>
        <w:separator/>
      </w:r>
    </w:p>
    <w:p w:rsidR="006329B4" w:rsidRDefault="006329B4"/>
    <w:p w:rsidR="006329B4" w:rsidRDefault="006329B4" w:rsidP="0002080B"/>
  </w:footnote>
  <w:footnote w:type="continuationSeparator" w:id="0">
    <w:p w:rsidR="006329B4" w:rsidRDefault="006329B4" w:rsidP="003B1EAE">
      <w:r>
        <w:continuationSeparator/>
      </w:r>
    </w:p>
    <w:p w:rsidR="006329B4" w:rsidRDefault="006329B4"/>
    <w:p w:rsidR="006329B4" w:rsidRDefault="006329B4" w:rsidP="0002080B"/>
  </w:footnote>
  <w:footnote w:id="1">
    <w:p w:rsidR="003C7774" w:rsidRPr="00B67533" w:rsidRDefault="003C7774" w:rsidP="00B67533">
      <w:pPr>
        <w:pStyle w:val="Textpoznpodarou"/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i/>
          <w:sz w:val="16"/>
          <w:szCs w:val="16"/>
        </w:rPr>
        <w:footnoteRef/>
      </w:r>
      <w:r w:rsidRPr="00B67533">
        <w:rPr>
          <w:i/>
          <w:sz w:val="16"/>
          <w:szCs w:val="16"/>
        </w:rPr>
        <w:t xml:space="preserve"> Podle </w:t>
      </w:r>
      <w:r w:rsidRPr="00B67533">
        <w:rPr>
          <w:i/>
          <w:sz w:val="16"/>
          <w:szCs w:val="16"/>
          <w:lang w:val="cs-CZ"/>
        </w:rPr>
        <w:t>§ 22 odst. 1 zákona č. 111/1998 Sb., o vysokých školách a o změně a doplnění dalších zákonů (zákon o vysokých školách), ve znění pozdějších předpisů.</w:t>
      </w:r>
    </w:p>
  </w:footnote>
  <w:footnote w:id="2">
    <w:p w:rsidR="003C7774" w:rsidRPr="00B67533" w:rsidRDefault="003C7774" w:rsidP="00B67533">
      <w:pPr>
        <w:pStyle w:val="Textpoznpodarou"/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i/>
          <w:sz w:val="16"/>
          <w:szCs w:val="16"/>
        </w:rPr>
        <w:footnoteRef/>
      </w:r>
      <w:r w:rsidRPr="00B67533">
        <w:rPr>
          <w:i/>
          <w:sz w:val="16"/>
          <w:szCs w:val="16"/>
        </w:rPr>
        <w:t xml:space="preserve"> </w:t>
      </w:r>
      <w:r w:rsidRPr="00B67533">
        <w:rPr>
          <w:i/>
          <w:sz w:val="16"/>
          <w:szCs w:val="16"/>
          <w:lang w:val="cs-CZ"/>
        </w:rPr>
        <w:t>OECD Fields of Research and Development (FRASCATI manuál 2015)</w:t>
      </w:r>
    </w:p>
  </w:footnote>
  <w:footnote w:id="3">
    <w:p w:rsidR="003C7774" w:rsidRPr="00B67533" w:rsidRDefault="003C7774" w:rsidP="00B67533">
      <w:pPr>
        <w:jc w:val="both"/>
        <w:rPr>
          <w:rFonts w:cstheme="minorHAnsi"/>
          <w:i/>
          <w:color w:val="000000" w:themeColor="text1"/>
          <w:sz w:val="16"/>
          <w:szCs w:val="16"/>
          <w:lang w:val="cs-CZ"/>
        </w:rPr>
      </w:pPr>
      <w:r w:rsidRPr="00B67533">
        <w:rPr>
          <w:rStyle w:val="Znakapoznpodarou"/>
          <w:i/>
          <w:sz w:val="16"/>
          <w:szCs w:val="16"/>
        </w:rPr>
        <w:footnoteRef/>
      </w:r>
      <w:r w:rsidRPr="00B67533">
        <w:rPr>
          <w:i/>
          <w:sz w:val="16"/>
          <w:szCs w:val="16"/>
          <w:lang w:val="cs-CZ"/>
        </w:rPr>
        <w:t xml:space="preserve"> </w:t>
      </w:r>
      <w:r w:rsidRPr="00B67533">
        <w:rPr>
          <w:rFonts w:cstheme="minorHAnsi"/>
          <w:i/>
          <w:color w:val="000000" w:themeColor="text1"/>
          <w:sz w:val="16"/>
          <w:szCs w:val="16"/>
          <w:lang w:val="cs-CZ"/>
        </w:rPr>
        <w:t xml:space="preserve">Podle § 2 odst. 1 písm. b) zákona č. 130/2002 Sb. je aplikovaným výzkumem teoretická a experimentální práce zaměřená na získání nových poznatků a dovedností pro vývoj nových nebo podstatně zdokonalených výrobků, postupů nebo služeb; </w:t>
      </w:r>
      <w:r w:rsidRPr="00B67533">
        <w:rPr>
          <w:rFonts w:cstheme="minorHAnsi"/>
          <w:i/>
          <w:color w:val="000000" w:themeColor="text1"/>
          <w:sz w:val="16"/>
          <w:szCs w:val="16"/>
          <w:u w:val="single"/>
          <w:lang w:val="cs-CZ"/>
        </w:rPr>
        <w:t xml:space="preserve">průmyslový výzkum, experimentální vývoj nebo jejich kombinace jsou součástí </w:t>
      </w:r>
      <w:r w:rsidRPr="00B67533">
        <w:rPr>
          <w:rFonts w:cstheme="minorHAnsi"/>
          <w:i/>
          <w:color w:val="000000" w:themeColor="text1"/>
          <w:sz w:val="16"/>
          <w:szCs w:val="16"/>
          <w:lang w:val="cs-CZ"/>
        </w:rPr>
        <w:t>aplikovaného výzkumu. Podle článku 2 Nařízení komise č. 651/2014, kterým se v souladu s články 107 a 108 Smlouvy prohlašují určité kategorie podpory za slučitelné s vnitřním trhem, se průmyslovým výzkumem" se rozumí plánovitý výzkum nebo kritické šetření zaměřené na získání nových poznatků a dovedností pro vývoj nových výrobků, postupů nebo služeb nebo k podstatnému zdokonalení stávajících výrobků, postupů nebo služeb. Zahrnuje vytváření dílčích částí složitých systémů a může zahrnovat výrobu prototypů v laboratorním prostředí nebo v prostředí se simulovaným rozhraním se stávajícími systémy a rovněž výrobu pilotních linek, je-li to nezbytné pro průmyslový výzkum, a zejména pro obecné ověřování technologie; experimentálním vývojem se rozumí získávání, spojování, formování a používání stávajících vědeckých, technologických, obchodních a jiných příslušných poznatků a dovedností za účelem vývoje nových nebo zdokonalených výrobků, postupů nebo služeb. Může se jednat například o činnosti zaměřené na vymezení koncepce, plánování a dokumentaci nových výrobků, postupů nebo služeb.</w:t>
      </w:r>
    </w:p>
  </w:footnote>
  <w:footnote w:id="4">
    <w:p w:rsidR="003C7774" w:rsidRPr="00B67533" w:rsidRDefault="003C7774" w:rsidP="00B67533">
      <w:pPr>
        <w:pStyle w:val="Textpoznpodarou"/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i/>
          <w:sz w:val="16"/>
          <w:szCs w:val="16"/>
        </w:rPr>
        <w:footnoteRef/>
      </w:r>
      <w:r w:rsidRPr="00B67533">
        <w:rPr>
          <w:i/>
          <w:sz w:val="16"/>
          <w:szCs w:val="16"/>
        </w:rPr>
        <w:t xml:space="preserve"> Definice smluvního výzkumu pro účely hodnocení v segmentu vysokých škol viz článek 2.2.1 Rámce společenství pro státní podporu výzkumu, vývoje a inovací 2014/C 198/01.</w:t>
      </w:r>
    </w:p>
  </w:footnote>
  <w:footnote w:id="5">
    <w:p w:rsidR="003C7774" w:rsidRPr="00B67533" w:rsidRDefault="003C7774" w:rsidP="00B67533">
      <w:pPr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i/>
          <w:sz w:val="16"/>
          <w:szCs w:val="16"/>
        </w:rPr>
        <w:footnoteRef/>
      </w:r>
      <w:r w:rsidRPr="00B67533">
        <w:rPr>
          <w:i/>
          <w:sz w:val="16"/>
          <w:szCs w:val="16"/>
          <w:lang w:val="cs-CZ"/>
        </w:rPr>
        <w:t xml:space="preserve"> Pro zjednodušení textu je pro označení osob používán mužský rod. Zpracovatel má ale vždy na mysli muže i ženy. V případech, kde jsou explicitně požadovány oddělené informace o ženách a mužích, jsou tyto údaje uvedeny.</w:t>
      </w:r>
    </w:p>
    <w:p w:rsidR="003C7774" w:rsidRPr="00B67533" w:rsidRDefault="003C7774" w:rsidP="00B67533">
      <w:pPr>
        <w:jc w:val="both"/>
        <w:rPr>
          <w:i/>
          <w:sz w:val="16"/>
          <w:szCs w:val="16"/>
          <w:lang w:val="cs-CZ"/>
        </w:rPr>
      </w:pPr>
    </w:p>
  </w:footnote>
  <w:footnote w:id="6">
    <w:p w:rsidR="003C7774" w:rsidRPr="00B67533" w:rsidRDefault="003C7774" w:rsidP="00B67533">
      <w:pPr>
        <w:pStyle w:val="Textpoznpodarou"/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i/>
          <w:sz w:val="16"/>
          <w:szCs w:val="16"/>
        </w:rPr>
        <w:footnoteRef/>
      </w:r>
      <w:r w:rsidRPr="00B67533">
        <w:rPr>
          <w:i/>
          <w:sz w:val="16"/>
          <w:szCs w:val="16"/>
          <w:lang w:val="cs-CZ"/>
        </w:rPr>
        <w:t xml:space="preserve"> Podle § 2 odst. 2 písm. d) zákona č. 130/2002 Sb., ve znění pozdějších předpisů, je velkou výzkumnou infrastrukturou výzkumná infrastruktura, která je výzkumným zařízením nezbytným pro ucelenou výzkumnou a vývojovou činnost s vysokou finanční a technologickou náročností, která je schvalována vládou a zřizována pro využití též dalšími výzkumnými organizacemi.</w:t>
      </w:r>
    </w:p>
  </w:footnote>
  <w:footnote w:id="7">
    <w:p w:rsidR="003C7774" w:rsidRPr="00B67533" w:rsidRDefault="003C7774" w:rsidP="00B67533">
      <w:pPr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i/>
          <w:sz w:val="16"/>
          <w:szCs w:val="16"/>
        </w:rPr>
        <w:footnoteRef/>
      </w:r>
      <w:r w:rsidRPr="00B67533">
        <w:rPr>
          <w:i/>
          <w:sz w:val="16"/>
          <w:szCs w:val="16"/>
          <w:lang w:val="cs-CZ"/>
        </w:rPr>
        <w:t>Evropská rada pro výzkum (angl. European Research Council, ERC) je součástí pilíře „Excelentní věda“ v programu Horizont 2020. ERC financuje špičkový badatelský výzkum podporou individuálních hlavních řešitelů a jejich výzkumných týmů.</w:t>
      </w:r>
    </w:p>
  </w:footnote>
  <w:footnote w:id="8">
    <w:p w:rsidR="003C7774" w:rsidRPr="00B67533" w:rsidRDefault="003C7774" w:rsidP="00B67533">
      <w:pPr>
        <w:pStyle w:val="Textpoznpodarou"/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i/>
          <w:sz w:val="16"/>
          <w:szCs w:val="16"/>
        </w:rPr>
        <w:footnoteRef/>
      </w:r>
      <w:r w:rsidRPr="00B67533">
        <w:rPr>
          <w:i/>
          <w:sz w:val="16"/>
          <w:szCs w:val="16"/>
        </w:rPr>
        <w:t xml:space="preserve"> </w:t>
      </w:r>
      <w:r w:rsidRPr="00B67533">
        <w:rPr>
          <w:i/>
          <w:sz w:val="16"/>
          <w:szCs w:val="16"/>
          <w:lang w:val="cs-CZ"/>
        </w:rPr>
        <w:t>Marie Skłodowska-Curie Action (MSCA) je součástí pilíře „Excelentní věda“ v programu Horizont 2020 a je zaměřen i na podporu mladých badatelů včetně doktorandů.</w:t>
      </w:r>
    </w:p>
  </w:footnote>
  <w:footnote w:id="9">
    <w:p w:rsidR="003C7774" w:rsidRPr="00B67533" w:rsidRDefault="003C7774" w:rsidP="00B67533">
      <w:pPr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rFonts w:cstheme="minorHAnsi"/>
          <w:i/>
          <w:sz w:val="16"/>
          <w:szCs w:val="16"/>
          <w:lang w:val="cs-CZ"/>
        </w:rPr>
        <w:footnoteRef/>
      </w:r>
      <w:r w:rsidRPr="00B67533">
        <w:rPr>
          <w:i/>
          <w:sz w:val="16"/>
          <w:szCs w:val="16"/>
          <w:lang w:val="cs-CZ"/>
        </w:rPr>
        <w:t>Howard Hughes Medical Institute - nezisková organizace v USA významně podporující mezinárodní výzkum v oblasti biomedicíny.</w:t>
      </w:r>
    </w:p>
  </w:footnote>
  <w:footnote w:id="10">
    <w:p w:rsidR="003C7774" w:rsidRPr="00B67533" w:rsidRDefault="003C7774" w:rsidP="00B67533">
      <w:pPr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rFonts w:cstheme="minorHAnsi"/>
          <w:i/>
          <w:sz w:val="16"/>
          <w:szCs w:val="16"/>
          <w:lang w:val="cs-CZ"/>
        </w:rPr>
        <w:footnoteRef/>
      </w:r>
      <w:r w:rsidRPr="00B67533">
        <w:rPr>
          <w:i/>
          <w:sz w:val="16"/>
          <w:szCs w:val="16"/>
          <w:lang w:val="cs-CZ"/>
        </w:rPr>
        <w:t>Human Frontier Science Program - mezinárodní program podpory výzkumu zejména v oblasti přírodních věd a informatiky.</w:t>
      </w:r>
    </w:p>
  </w:footnote>
  <w:footnote w:id="11">
    <w:p w:rsidR="003C7774" w:rsidRPr="00B67533" w:rsidRDefault="003C7774" w:rsidP="00B67533">
      <w:pPr>
        <w:pStyle w:val="Textpoznpodarou"/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i/>
          <w:sz w:val="16"/>
          <w:szCs w:val="16"/>
        </w:rPr>
        <w:footnoteRef/>
      </w:r>
      <w:r w:rsidRPr="00B67533">
        <w:rPr>
          <w:i/>
          <w:sz w:val="16"/>
          <w:szCs w:val="16"/>
          <w:lang w:val="cs-CZ"/>
        </w:rPr>
        <w:t>National Science Foundation (USA)</w:t>
      </w:r>
    </w:p>
    <w:p w:rsidR="003C7774" w:rsidRPr="00B67533" w:rsidRDefault="003C7774" w:rsidP="00B67533">
      <w:pPr>
        <w:pStyle w:val="Textpoznpodarou"/>
        <w:jc w:val="both"/>
        <w:rPr>
          <w:i/>
          <w:sz w:val="16"/>
          <w:szCs w:val="16"/>
          <w:lang w:val="cs-CZ"/>
        </w:rPr>
      </w:pPr>
    </w:p>
  </w:footnote>
  <w:footnote w:id="12">
    <w:p w:rsidR="003C7774" w:rsidRPr="00B67533" w:rsidRDefault="003C7774" w:rsidP="00B67533">
      <w:pPr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rFonts w:cstheme="minorHAnsi"/>
          <w:i/>
          <w:sz w:val="16"/>
          <w:szCs w:val="16"/>
          <w:lang w:val="cs-CZ"/>
        </w:rPr>
        <w:footnoteRef/>
      </w:r>
      <w:r w:rsidRPr="00B67533">
        <w:rPr>
          <w:i/>
          <w:sz w:val="16"/>
          <w:szCs w:val="16"/>
          <w:lang w:val="cs-CZ"/>
        </w:rPr>
        <w:t xml:space="preserve"> 7. rámcový program pro výzkum a technologický rozvoj (angl. Seventh Framework Programme, FP 7) byl hlavním nástrojem Evropské unie pro financování evropského výzkumu v období 2007-2013.</w:t>
      </w:r>
    </w:p>
  </w:footnote>
  <w:footnote w:id="13">
    <w:p w:rsidR="003C7774" w:rsidRPr="00B67533" w:rsidRDefault="003C7774" w:rsidP="00B67533">
      <w:pPr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rFonts w:cstheme="minorHAnsi"/>
          <w:i/>
          <w:sz w:val="16"/>
          <w:szCs w:val="16"/>
          <w:lang w:val="cs-CZ"/>
        </w:rPr>
        <w:footnoteRef/>
      </w:r>
      <w:r w:rsidRPr="00B67533">
        <w:rPr>
          <w:i/>
          <w:sz w:val="16"/>
          <w:szCs w:val="16"/>
          <w:lang w:val="cs-CZ"/>
        </w:rPr>
        <w:t xml:space="preserve"> Horizont 2020 - 8. rámcový program pro výzkum a inovace (angl. Horizon 2020, H2020), největší program financující vědu, výzkum a inovace ve strukturách EU v letech 2014-2020.</w:t>
      </w:r>
    </w:p>
  </w:footnote>
  <w:footnote w:id="14">
    <w:p w:rsidR="003C7774" w:rsidRPr="00B67533" w:rsidRDefault="003C7774" w:rsidP="00B67533">
      <w:pPr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rFonts w:cstheme="minorHAnsi"/>
          <w:i/>
          <w:sz w:val="16"/>
          <w:szCs w:val="16"/>
          <w:lang w:val="cs-CZ"/>
        </w:rPr>
        <w:footnoteRef/>
      </w:r>
      <w:r w:rsidRPr="00B67533">
        <w:rPr>
          <w:i/>
          <w:sz w:val="16"/>
          <w:szCs w:val="16"/>
          <w:lang w:val="cs-CZ"/>
        </w:rPr>
        <w:t xml:space="preserve"> Plánovaný 9. rámcový program EU pro výzkum a inovace (též Horizont Evropa, angl. Horizon Europe) vystřídá program Horizont 2020; měl by probíhat v letech 2021-2027.</w:t>
      </w:r>
    </w:p>
  </w:footnote>
  <w:footnote w:id="15">
    <w:p w:rsidR="003C7774" w:rsidRPr="00B67533" w:rsidRDefault="003C7774" w:rsidP="00B67533">
      <w:pPr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rFonts w:cstheme="minorHAnsi"/>
          <w:i/>
          <w:sz w:val="16"/>
          <w:szCs w:val="16"/>
          <w:lang w:val="cs-CZ"/>
        </w:rPr>
        <w:footnoteRef/>
      </w:r>
      <w:r w:rsidRPr="00B67533">
        <w:rPr>
          <w:i/>
          <w:sz w:val="16"/>
          <w:szCs w:val="16"/>
          <w:lang w:val="cs-CZ"/>
        </w:rPr>
        <w:t xml:space="preserve"> N</w:t>
      </w:r>
      <w:r>
        <w:rPr>
          <w:i/>
          <w:sz w:val="16"/>
          <w:szCs w:val="16"/>
          <w:lang w:val="cs-CZ"/>
        </w:rPr>
        <w:t>ational Institutes of Health (N</w:t>
      </w:r>
      <w:r w:rsidRPr="00B67533">
        <w:rPr>
          <w:i/>
          <w:sz w:val="16"/>
          <w:szCs w:val="16"/>
          <w:lang w:val="cs-CZ"/>
        </w:rPr>
        <w:t>I</w:t>
      </w:r>
      <w:r>
        <w:rPr>
          <w:i/>
          <w:sz w:val="16"/>
          <w:szCs w:val="16"/>
          <w:lang w:val="cs-CZ"/>
        </w:rPr>
        <w:t>H</w:t>
      </w:r>
      <w:r w:rsidRPr="00B67533">
        <w:rPr>
          <w:i/>
          <w:sz w:val="16"/>
          <w:szCs w:val="16"/>
          <w:lang w:val="cs-CZ"/>
        </w:rPr>
        <w:t>) - úřad spadající pod ministerstvo zdravotnictví Spojených států (United States Department of Health and Human Services). NHI je mj. významným aktérem projektové podpory biomedicínského výzkumu.</w:t>
      </w:r>
    </w:p>
  </w:footnote>
  <w:footnote w:id="16">
    <w:p w:rsidR="003C7774" w:rsidRPr="00B67533" w:rsidRDefault="003C7774" w:rsidP="00B67533">
      <w:pPr>
        <w:jc w:val="both"/>
        <w:rPr>
          <w:rFonts w:ascii="Times New Roman" w:hAnsi="Times New Roman" w:cs="Times New Roman"/>
          <w:i/>
          <w:sz w:val="16"/>
          <w:szCs w:val="16"/>
          <w:lang w:val="cs-CZ"/>
        </w:rPr>
      </w:pPr>
      <w:r w:rsidRPr="00B67533">
        <w:rPr>
          <w:rStyle w:val="Znakapoznpodarou"/>
          <w:rFonts w:cstheme="minorHAnsi"/>
          <w:i/>
          <w:sz w:val="16"/>
          <w:szCs w:val="16"/>
          <w:lang w:val="cs-CZ"/>
        </w:rPr>
        <w:footnoteRef/>
      </w:r>
      <w:r w:rsidRPr="00B67533">
        <w:rPr>
          <w:i/>
          <w:sz w:val="16"/>
          <w:szCs w:val="16"/>
          <w:lang w:val="cs-CZ"/>
        </w:rPr>
        <w:t xml:space="preserve"> Významná britská soukromá nadace podporující zejména biomedicínský výzkum.</w:t>
      </w:r>
      <w:r w:rsidRPr="00B67533">
        <w:rPr>
          <w:rFonts w:ascii="Times New Roman" w:hAnsi="Times New Roman" w:cs="Times New Roman"/>
          <w:i/>
          <w:sz w:val="16"/>
          <w:szCs w:val="16"/>
          <w:lang w:val="cs-CZ"/>
        </w:rPr>
        <w:t xml:space="preserve"> </w:t>
      </w:r>
    </w:p>
  </w:footnote>
  <w:footnote w:id="17">
    <w:p w:rsidR="003C7774" w:rsidRPr="00CE7277" w:rsidRDefault="003C7774" w:rsidP="00CE7277">
      <w:pPr>
        <w:pStyle w:val="Textpoznpodarou"/>
        <w:jc w:val="both"/>
        <w:rPr>
          <w:sz w:val="16"/>
          <w:szCs w:val="16"/>
          <w:lang w:val="cs-CZ"/>
        </w:rPr>
      </w:pPr>
      <w:r w:rsidRPr="00CE7277">
        <w:rPr>
          <w:rStyle w:val="Znakapoznpodarou"/>
          <w:sz w:val="16"/>
          <w:szCs w:val="16"/>
        </w:rPr>
        <w:footnoteRef/>
      </w:r>
      <w:r w:rsidRPr="00CE7277">
        <w:rPr>
          <w:sz w:val="16"/>
          <w:szCs w:val="16"/>
        </w:rPr>
        <w:t xml:space="preserve"> </w:t>
      </w:r>
      <w:r w:rsidRPr="00CE7277">
        <w:rPr>
          <w:i/>
          <w:sz w:val="16"/>
          <w:szCs w:val="16"/>
          <w:lang w:val="cs-CZ"/>
        </w:rPr>
        <w:t>Operační program Výzkum, vývoj a vzdělávání - víceletý program v gesci Ministerstva školství, mládeže a tělovýchovy. V rámci OP VVV je možno v období 2014-2020 čerpat finanční prostředky z Evropských strukturálních a investičních fondů (ESIF).</w:t>
      </w:r>
    </w:p>
  </w:footnote>
  <w:footnote w:id="18">
    <w:p w:rsidR="003C7774" w:rsidRPr="00CE7277" w:rsidRDefault="003C7774" w:rsidP="00CE7277">
      <w:pPr>
        <w:pStyle w:val="Textpoznpodarou"/>
        <w:jc w:val="both"/>
        <w:rPr>
          <w:lang w:val="cs-CZ"/>
        </w:rPr>
      </w:pPr>
      <w:r w:rsidRPr="00CE7277">
        <w:rPr>
          <w:rStyle w:val="Znakapoznpodarou"/>
          <w:sz w:val="16"/>
          <w:szCs w:val="16"/>
        </w:rPr>
        <w:footnoteRef/>
      </w:r>
      <w:r w:rsidRPr="00CE7277">
        <w:rPr>
          <w:sz w:val="16"/>
          <w:szCs w:val="16"/>
        </w:rPr>
        <w:t xml:space="preserve"> </w:t>
      </w:r>
      <w:r w:rsidRPr="00CE7277">
        <w:rPr>
          <w:i/>
          <w:sz w:val="16"/>
          <w:szCs w:val="16"/>
          <w:lang w:val="cs-CZ"/>
        </w:rPr>
        <w:t>Operační program Podnikání a inovace pro konkurenceschopnost - víceletý program v gesci Ministerstva průmyslu a obchodu pro čerpání finančních prostředků z Evropského fondu pro regionální rozvoj (období 2014-2020).</w:t>
      </w:r>
    </w:p>
  </w:footnote>
  <w:footnote w:id="19">
    <w:p w:rsidR="003C7774" w:rsidRPr="00B67533" w:rsidRDefault="003C7774" w:rsidP="00B67533">
      <w:pPr>
        <w:pStyle w:val="Textpoznpodarou"/>
        <w:jc w:val="both"/>
        <w:rPr>
          <w:i/>
          <w:sz w:val="16"/>
          <w:szCs w:val="16"/>
          <w:lang w:val="cs-CZ"/>
        </w:rPr>
      </w:pPr>
      <w:r w:rsidRPr="00B67533">
        <w:rPr>
          <w:rStyle w:val="Znakapoznpodarou"/>
          <w:i/>
          <w:sz w:val="16"/>
          <w:szCs w:val="16"/>
        </w:rPr>
        <w:footnoteRef/>
      </w:r>
      <w:r w:rsidRPr="00B67533">
        <w:rPr>
          <w:i/>
          <w:sz w:val="16"/>
          <w:szCs w:val="16"/>
        </w:rPr>
        <w:t xml:space="preserve"> Podle </w:t>
      </w:r>
      <w:r w:rsidRPr="00B67533">
        <w:rPr>
          <w:i/>
          <w:sz w:val="16"/>
          <w:szCs w:val="16"/>
          <w:lang w:val="cs-CZ"/>
        </w:rPr>
        <w:t>§ 22 odst. 1 zákona č. 111/1998 Sb., o vysokých školách a o změně a doplnění dalších zákonů (zákon o vysokých školách), ve znění pozdějších předpisů.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74" w:rsidRDefault="003C7774" w:rsidP="00F106FF">
    <w:pPr>
      <w:pStyle w:val="Zhlav"/>
      <w:jc w:val="center"/>
    </w:pPr>
  </w:p>
  <w:p w:rsidR="003C7774" w:rsidRDefault="003C7774">
    <w:pPr>
      <w:pStyle w:val="Zhlav"/>
    </w:pPr>
  </w:p>
  <w:p w:rsidR="003C7774" w:rsidRDefault="003C7774"/>
  <w:p w:rsidR="003C7774" w:rsidRDefault="003C7774" w:rsidP="0002080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74" w:rsidRPr="00436227" w:rsidRDefault="003C7774">
    <w:pPr>
      <w:pStyle w:val="Zhlav"/>
      <w:rPr>
        <w:lang w:val="cs-CZ"/>
      </w:rPr>
    </w:pPr>
    <w:r w:rsidRPr="00436227">
      <w:rPr>
        <w:lang w:val="cs-CZ"/>
      </w:rPr>
      <w:t>Metodika hodnocení výzkumných organizací a ukončených</w:t>
    </w:r>
  </w:p>
  <w:p w:rsidR="003C7774" w:rsidRPr="00436227" w:rsidRDefault="003C7774">
    <w:pPr>
      <w:pStyle w:val="Zhlav"/>
      <w:rPr>
        <w:lang w:val="cs-CZ"/>
      </w:rPr>
    </w:pPr>
    <w:r w:rsidRPr="00436227">
      <w:rPr>
        <w:lang w:val="cs-CZ"/>
      </w:rPr>
      <w:t xml:space="preserve">programů účelové podpory </w:t>
    </w:r>
    <w:r w:rsidRPr="00A64416">
      <w:rPr>
        <w:lang w:val="cs-CZ"/>
      </w:rPr>
      <w:t xml:space="preserve">výzkumu, vývoje a inovací </w:t>
    </w:r>
    <w:r w:rsidRPr="00A64416">
      <w:rPr>
        <w:lang w:val="cs-CZ"/>
      </w:rPr>
      <w:tab/>
    </w:r>
    <w:r w:rsidRPr="00A64416">
      <w:rPr>
        <w:b/>
        <w:sz w:val="24"/>
        <w:szCs w:val="24"/>
        <w:lang w:val="cs-CZ"/>
      </w:rPr>
      <w:t>III.</w:t>
    </w:r>
  </w:p>
  <w:p w:rsidR="003C7774" w:rsidRPr="00436227" w:rsidRDefault="003C7774">
    <w:pPr>
      <w:pStyle w:val="Zhlav"/>
      <w:rPr>
        <w:lang w:val="cs-CZ"/>
      </w:rPr>
    </w:pPr>
  </w:p>
  <w:p w:rsidR="003C7774" w:rsidRPr="00436227" w:rsidRDefault="003C7774">
    <w:pPr>
      <w:pStyle w:val="Zhlav"/>
      <w:rPr>
        <w:sz w:val="24"/>
        <w:szCs w:val="24"/>
        <w:lang w:val="cs-CZ"/>
      </w:rPr>
    </w:pPr>
    <w:r>
      <w:rPr>
        <w:sz w:val="24"/>
        <w:szCs w:val="24"/>
        <w:lang w:val="cs-CZ"/>
      </w:rPr>
      <w:t>Příloha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769176"/>
    <w:lvl w:ilvl="0">
      <w:start w:val="1"/>
      <w:numFmt w:val="bullet"/>
      <w:pStyle w:val="Seznamsodrka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F"/>
    <w:multiLevelType w:val="multilevel"/>
    <w:tmpl w:val="5D62CB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336508"/>
    <w:multiLevelType w:val="hybridMultilevel"/>
    <w:tmpl w:val="54DE281E"/>
    <w:lvl w:ilvl="0" w:tplc="FFFFFFFF">
      <w:start w:val="1"/>
      <w:numFmt w:val="bullet"/>
      <w:pStyle w:val="tekaern"/>
      <w:lvlText w:val=""/>
      <w:lvlJc w:val="left"/>
      <w:pPr>
        <w:tabs>
          <w:tab w:val="num" w:pos="786"/>
        </w:tabs>
        <w:ind w:left="709" w:hanging="283"/>
      </w:pPr>
      <w:rPr>
        <w:rFonts w:ascii="Symbol" w:hAnsi="Symbol" w:cs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15B77"/>
    <w:multiLevelType w:val="hybridMultilevel"/>
    <w:tmpl w:val="3B78F504"/>
    <w:lvl w:ilvl="0" w:tplc="556210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4E0D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B439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E9C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50CE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589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7498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E01E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E1C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564AA9"/>
    <w:multiLevelType w:val="hybridMultilevel"/>
    <w:tmpl w:val="448E7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35644"/>
    <w:multiLevelType w:val="hybridMultilevel"/>
    <w:tmpl w:val="913664DC"/>
    <w:lvl w:ilvl="0" w:tplc="E22680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85ACB"/>
    <w:multiLevelType w:val="hybridMultilevel"/>
    <w:tmpl w:val="8688A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E62E4"/>
    <w:multiLevelType w:val="hybridMultilevel"/>
    <w:tmpl w:val="2CE0196E"/>
    <w:lvl w:ilvl="0" w:tplc="A84E619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15AE7"/>
    <w:multiLevelType w:val="hybridMultilevel"/>
    <w:tmpl w:val="C64A9C2C"/>
    <w:lvl w:ilvl="0" w:tplc="E22680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20A31"/>
    <w:multiLevelType w:val="hybridMultilevel"/>
    <w:tmpl w:val="D11CDFF2"/>
    <w:lvl w:ilvl="0" w:tplc="E226803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B36C6C"/>
    <w:multiLevelType w:val="hybridMultilevel"/>
    <w:tmpl w:val="657EF7DA"/>
    <w:lvl w:ilvl="0" w:tplc="2E48D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077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401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2A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AC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9E5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29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E9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60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88351E4"/>
    <w:multiLevelType w:val="hybridMultilevel"/>
    <w:tmpl w:val="432696E0"/>
    <w:lvl w:ilvl="0" w:tplc="F63CE5B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F91225"/>
    <w:multiLevelType w:val="hybridMultilevel"/>
    <w:tmpl w:val="B5889A12"/>
    <w:lvl w:ilvl="0" w:tplc="A84E619E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E472EE"/>
    <w:multiLevelType w:val="hybridMultilevel"/>
    <w:tmpl w:val="E0523960"/>
    <w:lvl w:ilvl="0" w:tplc="7E20F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43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CB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4F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AA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24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6B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25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0CF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4C5247A"/>
    <w:multiLevelType w:val="hybridMultilevel"/>
    <w:tmpl w:val="0D04B9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96B33"/>
    <w:multiLevelType w:val="hybridMultilevel"/>
    <w:tmpl w:val="83303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D67B3"/>
    <w:multiLevelType w:val="multilevel"/>
    <w:tmpl w:val="BA1A227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4481518F"/>
    <w:multiLevelType w:val="multilevel"/>
    <w:tmpl w:val="54022E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A757A5D"/>
    <w:multiLevelType w:val="hybridMultilevel"/>
    <w:tmpl w:val="4E58FC78"/>
    <w:lvl w:ilvl="0" w:tplc="1B90B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69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8B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BA0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EC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20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40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61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94F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B2E491B"/>
    <w:multiLevelType w:val="hybridMultilevel"/>
    <w:tmpl w:val="F3D0F1CE"/>
    <w:lvl w:ilvl="0" w:tplc="F590288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D3E73"/>
    <w:multiLevelType w:val="hybridMultilevel"/>
    <w:tmpl w:val="E182F668"/>
    <w:lvl w:ilvl="0" w:tplc="443AE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870B28"/>
    <w:multiLevelType w:val="hybridMultilevel"/>
    <w:tmpl w:val="D898DDB4"/>
    <w:lvl w:ilvl="0" w:tplc="A12C9CD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BF0432"/>
    <w:multiLevelType w:val="hybridMultilevel"/>
    <w:tmpl w:val="3A925154"/>
    <w:lvl w:ilvl="0" w:tplc="A84E619E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CF6ED4"/>
    <w:multiLevelType w:val="hybridMultilevel"/>
    <w:tmpl w:val="83303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E015A"/>
    <w:multiLevelType w:val="hybridMultilevel"/>
    <w:tmpl w:val="16588A9A"/>
    <w:lvl w:ilvl="0" w:tplc="A9F24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24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64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8AE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E0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C2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789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36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41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4996604"/>
    <w:multiLevelType w:val="hybridMultilevel"/>
    <w:tmpl w:val="F34664EA"/>
    <w:lvl w:ilvl="0" w:tplc="1D023150">
      <w:start w:val="1"/>
      <w:numFmt w:val="bullet"/>
      <w:lvlText w:val="-"/>
      <w:lvlJc w:val="left"/>
      <w:pPr>
        <w:tabs>
          <w:tab w:val="num" w:pos="284"/>
        </w:tabs>
        <w:ind w:left="644" w:hanging="64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>
    <w:nsid w:val="7AE501FA"/>
    <w:multiLevelType w:val="hybridMultilevel"/>
    <w:tmpl w:val="18583D94"/>
    <w:lvl w:ilvl="0" w:tplc="E9EEE8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C4D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A606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094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94DE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1E25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487C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4D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5E55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1F33D8"/>
    <w:multiLevelType w:val="multilevel"/>
    <w:tmpl w:val="36362C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22"/>
  </w:num>
  <w:num w:numId="4">
    <w:abstractNumId w:val="9"/>
  </w:num>
  <w:num w:numId="5">
    <w:abstractNumId w:val="12"/>
  </w:num>
  <w:num w:numId="6">
    <w:abstractNumId w:val="0"/>
  </w:num>
  <w:num w:numId="7">
    <w:abstractNumId w:val="1"/>
  </w:num>
  <w:num w:numId="8">
    <w:abstractNumId w:val="21"/>
  </w:num>
  <w:num w:numId="9">
    <w:abstractNumId w:val="23"/>
  </w:num>
  <w:num w:numId="10">
    <w:abstractNumId w:val="27"/>
  </w:num>
  <w:num w:numId="11">
    <w:abstractNumId w:val="17"/>
  </w:num>
  <w:num w:numId="12">
    <w:abstractNumId w:val="15"/>
  </w:num>
  <w:num w:numId="13">
    <w:abstractNumId w:val="25"/>
  </w:num>
  <w:num w:numId="14">
    <w:abstractNumId w:val="16"/>
  </w:num>
  <w:num w:numId="15">
    <w:abstractNumId w:val="19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3"/>
  </w:num>
  <w:num w:numId="23">
    <w:abstractNumId w:val="26"/>
  </w:num>
  <w:num w:numId="24">
    <w:abstractNumId w:val="10"/>
  </w:num>
  <w:num w:numId="25">
    <w:abstractNumId w:val="18"/>
  </w:num>
  <w:num w:numId="26">
    <w:abstractNumId w:val="24"/>
  </w:num>
  <w:num w:numId="27">
    <w:abstractNumId w:val="3"/>
  </w:num>
  <w:num w:numId="28">
    <w:abstractNumId w:val="5"/>
  </w:num>
  <w:num w:numId="29">
    <w:abstractNumId w:val="16"/>
  </w:num>
  <w:num w:numId="30">
    <w:abstractNumId w:val="14"/>
  </w:num>
  <w:num w:numId="31">
    <w:abstractNumId w:val="6"/>
  </w:num>
  <w:num w:numId="32">
    <w:abstractNumId w:val="8"/>
  </w:num>
  <w:num w:numId="33">
    <w:abstractNumId w:val="20"/>
  </w:num>
  <w:num w:numId="34">
    <w:abstractNumId w:val="16"/>
    <w:lvlOverride w:ilvl="0">
      <w:startOverride w:val="3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trackedChanges" w:enforcement="0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LKwMDYxNzMzNTU2MbFU0lEKTi0uzszPAykwrAUAS3DkQCwAAAA="/>
  </w:docVars>
  <w:rsids>
    <w:rsidRoot w:val="004A3E6A"/>
    <w:rsid w:val="000036FA"/>
    <w:rsid w:val="000051FF"/>
    <w:rsid w:val="00011666"/>
    <w:rsid w:val="00012F81"/>
    <w:rsid w:val="00016F7D"/>
    <w:rsid w:val="0002080B"/>
    <w:rsid w:val="00020E4F"/>
    <w:rsid w:val="00023782"/>
    <w:rsid w:val="000260F2"/>
    <w:rsid w:val="00030723"/>
    <w:rsid w:val="000324F5"/>
    <w:rsid w:val="0004413C"/>
    <w:rsid w:val="0005107F"/>
    <w:rsid w:val="000542EB"/>
    <w:rsid w:val="0005561F"/>
    <w:rsid w:val="000562BF"/>
    <w:rsid w:val="000603D4"/>
    <w:rsid w:val="00060466"/>
    <w:rsid w:val="00060FA1"/>
    <w:rsid w:val="000646CA"/>
    <w:rsid w:val="00066E2E"/>
    <w:rsid w:val="00071404"/>
    <w:rsid w:val="0007185F"/>
    <w:rsid w:val="00071FDB"/>
    <w:rsid w:val="0007462F"/>
    <w:rsid w:val="000749D0"/>
    <w:rsid w:val="0007583C"/>
    <w:rsid w:val="0007686C"/>
    <w:rsid w:val="0008246F"/>
    <w:rsid w:val="0008327E"/>
    <w:rsid w:val="0008358A"/>
    <w:rsid w:val="0008564E"/>
    <w:rsid w:val="000938B6"/>
    <w:rsid w:val="0009475E"/>
    <w:rsid w:val="000957E4"/>
    <w:rsid w:val="000962C6"/>
    <w:rsid w:val="00096EE8"/>
    <w:rsid w:val="000A0F1D"/>
    <w:rsid w:val="000A7F98"/>
    <w:rsid w:val="000B037C"/>
    <w:rsid w:val="000B7320"/>
    <w:rsid w:val="000C0F61"/>
    <w:rsid w:val="000C1F3F"/>
    <w:rsid w:val="000C413B"/>
    <w:rsid w:val="000C5FD7"/>
    <w:rsid w:val="000C6BE6"/>
    <w:rsid w:val="000C78EE"/>
    <w:rsid w:val="000D0282"/>
    <w:rsid w:val="000D05E1"/>
    <w:rsid w:val="000D0AE2"/>
    <w:rsid w:val="000D4A55"/>
    <w:rsid w:val="000D4A7C"/>
    <w:rsid w:val="000D6A46"/>
    <w:rsid w:val="000D7120"/>
    <w:rsid w:val="000D7AF6"/>
    <w:rsid w:val="000E091E"/>
    <w:rsid w:val="000E09E1"/>
    <w:rsid w:val="000E0B31"/>
    <w:rsid w:val="000E5C1F"/>
    <w:rsid w:val="000E6636"/>
    <w:rsid w:val="000F1F4E"/>
    <w:rsid w:val="000F31B0"/>
    <w:rsid w:val="000F5121"/>
    <w:rsid w:val="000F55E7"/>
    <w:rsid w:val="000F6EDE"/>
    <w:rsid w:val="000F77B9"/>
    <w:rsid w:val="0010153A"/>
    <w:rsid w:val="00103144"/>
    <w:rsid w:val="00103BF9"/>
    <w:rsid w:val="001041A9"/>
    <w:rsid w:val="00106E66"/>
    <w:rsid w:val="001076AD"/>
    <w:rsid w:val="00111E92"/>
    <w:rsid w:val="00112A99"/>
    <w:rsid w:val="00112F77"/>
    <w:rsid w:val="00113DCA"/>
    <w:rsid w:val="00115498"/>
    <w:rsid w:val="00116D7E"/>
    <w:rsid w:val="00120083"/>
    <w:rsid w:val="001200E4"/>
    <w:rsid w:val="001213E3"/>
    <w:rsid w:val="00124ACD"/>
    <w:rsid w:val="00125F6F"/>
    <w:rsid w:val="00127F84"/>
    <w:rsid w:val="00130577"/>
    <w:rsid w:val="001332F2"/>
    <w:rsid w:val="001337E0"/>
    <w:rsid w:val="00135277"/>
    <w:rsid w:val="00135ACB"/>
    <w:rsid w:val="0013738F"/>
    <w:rsid w:val="001375C1"/>
    <w:rsid w:val="0014013A"/>
    <w:rsid w:val="00143A5B"/>
    <w:rsid w:val="00144253"/>
    <w:rsid w:val="00144E86"/>
    <w:rsid w:val="00151D50"/>
    <w:rsid w:val="0015271D"/>
    <w:rsid w:val="00155E3F"/>
    <w:rsid w:val="001564BC"/>
    <w:rsid w:val="00160406"/>
    <w:rsid w:val="00160D3A"/>
    <w:rsid w:val="0016246B"/>
    <w:rsid w:val="00162C20"/>
    <w:rsid w:val="00165177"/>
    <w:rsid w:val="001704A3"/>
    <w:rsid w:val="00172F73"/>
    <w:rsid w:val="0017416E"/>
    <w:rsid w:val="00177D38"/>
    <w:rsid w:val="00182D59"/>
    <w:rsid w:val="001857E3"/>
    <w:rsid w:val="00190AC6"/>
    <w:rsid w:val="001A0401"/>
    <w:rsid w:val="001A6411"/>
    <w:rsid w:val="001A6F8B"/>
    <w:rsid w:val="001B4638"/>
    <w:rsid w:val="001B531C"/>
    <w:rsid w:val="001B5C65"/>
    <w:rsid w:val="001B6370"/>
    <w:rsid w:val="001C0F0D"/>
    <w:rsid w:val="001C2A4C"/>
    <w:rsid w:val="001C3083"/>
    <w:rsid w:val="001C3685"/>
    <w:rsid w:val="001D2CFB"/>
    <w:rsid w:val="001D36F5"/>
    <w:rsid w:val="001D5E56"/>
    <w:rsid w:val="001E7DE8"/>
    <w:rsid w:val="001F00F8"/>
    <w:rsid w:val="001F4432"/>
    <w:rsid w:val="001F47FA"/>
    <w:rsid w:val="001F4F08"/>
    <w:rsid w:val="00202138"/>
    <w:rsid w:val="00202BAD"/>
    <w:rsid w:val="00212F25"/>
    <w:rsid w:val="002207A5"/>
    <w:rsid w:val="00221589"/>
    <w:rsid w:val="00221775"/>
    <w:rsid w:val="0022342B"/>
    <w:rsid w:val="0022511B"/>
    <w:rsid w:val="002366DA"/>
    <w:rsid w:val="00236DBA"/>
    <w:rsid w:val="00237287"/>
    <w:rsid w:val="00240E35"/>
    <w:rsid w:val="002415C8"/>
    <w:rsid w:val="00241A6F"/>
    <w:rsid w:val="00241AB4"/>
    <w:rsid w:val="00241D16"/>
    <w:rsid w:val="002461DA"/>
    <w:rsid w:val="0024645F"/>
    <w:rsid w:val="00251CB5"/>
    <w:rsid w:val="0025436E"/>
    <w:rsid w:val="00260271"/>
    <w:rsid w:val="00260BF0"/>
    <w:rsid w:val="00263B1B"/>
    <w:rsid w:val="00267AC0"/>
    <w:rsid w:val="0027086D"/>
    <w:rsid w:val="00273BB3"/>
    <w:rsid w:val="002773A4"/>
    <w:rsid w:val="00280DDB"/>
    <w:rsid w:val="00282A5F"/>
    <w:rsid w:val="00283751"/>
    <w:rsid w:val="00287219"/>
    <w:rsid w:val="00290386"/>
    <w:rsid w:val="0029064C"/>
    <w:rsid w:val="002924A3"/>
    <w:rsid w:val="00292D7C"/>
    <w:rsid w:val="00295687"/>
    <w:rsid w:val="00295BF6"/>
    <w:rsid w:val="002A4AE3"/>
    <w:rsid w:val="002A4D4D"/>
    <w:rsid w:val="002A5B13"/>
    <w:rsid w:val="002B0E42"/>
    <w:rsid w:val="002B14B9"/>
    <w:rsid w:val="002B1A2D"/>
    <w:rsid w:val="002B1D88"/>
    <w:rsid w:val="002B2030"/>
    <w:rsid w:val="002B2871"/>
    <w:rsid w:val="002B3F04"/>
    <w:rsid w:val="002B47E6"/>
    <w:rsid w:val="002B5976"/>
    <w:rsid w:val="002C2A11"/>
    <w:rsid w:val="002C7C13"/>
    <w:rsid w:val="002D0897"/>
    <w:rsid w:val="002D22BD"/>
    <w:rsid w:val="002D330D"/>
    <w:rsid w:val="002D496F"/>
    <w:rsid w:val="002D5843"/>
    <w:rsid w:val="002D65EF"/>
    <w:rsid w:val="002E188A"/>
    <w:rsid w:val="002E200D"/>
    <w:rsid w:val="002E2671"/>
    <w:rsid w:val="002E55B3"/>
    <w:rsid w:val="002E62BE"/>
    <w:rsid w:val="002F3359"/>
    <w:rsid w:val="002F49A8"/>
    <w:rsid w:val="002F4A8F"/>
    <w:rsid w:val="002F5BD1"/>
    <w:rsid w:val="002F6675"/>
    <w:rsid w:val="002F6C9E"/>
    <w:rsid w:val="00300284"/>
    <w:rsid w:val="003020B4"/>
    <w:rsid w:val="003026FF"/>
    <w:rsid w:val="00303562"/>
    <w:rsid w:val="00303D98"/>
    <w:rsid w:val="00306319"/>
    <w:rsid w:val="00307078"/>
    <w:rsid w:val="003116C4"/>
    <w:rsid w:val="00313486"/>
    <w:rsid w:val="003139B6"/>
    <w:rsid w:val="0031678B"/>
    <w:rsid w:val="00324EE6"/>
    <w:rsid w:val="003259E8"/>
    <w:rsid w:val="00327780"/>
    <w:rsid w:val="00327A86"/>
    <w:rsid w:val="00331493"/>
    <w:rsid w:val="003333CE"/>
    <w:rsid w:val="003342FC"/>
    <w:rsid w:val="00334F66"/>
    <w:rsid w:val="00335435"/>
    <w:rsid w:val="00335DF4"/>
    <w:rsid w:val="00336A58"/>
    <w:rsid w:val="003413C3"/>
    <w:rsid w:val="00342011"/>
    <w:rsid w:val="00344A35"/>
    <w:rsid w:val="00344B0C"/>
    <w:rsid w:val="003475C7"/>
    <w:rsid w:val="0035056A"/>
    <w:rsid w:val="003525E4"/>
    <w:rsid w:val="00352B67"/>
    <w:rsid w:val="00353776"/>
    <w:rsid w:val="003550FC"/>
    <w:rsid w:val="00356202"/>
    <w:rsid w:val="003633B2"/>
    <w:rsid w:val="00363697"/>
    <w:rsid w:val="003637D7"/>
    <w:rsid w:val="00364D8D"/>
    <w:rsid w:val="00367649"/>
    <w:rsid w:val="00367E30"/>
    <w:rsid w:val="00370507"/>
    <w:rsid w:val="003707F0"/>
    <w:rsid w:val="00370C5A"/>
    <w:rsid w:val="003732CF"/>
    <w:rsid w:val="003733EF"/>
    <w:rsid w:val="00373BA9"/>
    <w:rsid w:val="00374162"/>
    <w:rsid w:val="00374CAD"/>
    <w:rsid w:val="00374DE6"/>
    <w:rsid w:val="00375A49"/>
    <w:rsid w:val="00376D9A"/>
    <w:rsid w:val="003773A9"/>
    <w:rsid w:val="00380B8D"/>
    <w:rsid w:val="003852AB"/>
    <w:rsid w:val="0038626F"/>
    <w:rsid w:val="00386960"/>
    <w:rsid w:val="00391180"/>
    <w:rsid w:val="0039178E"/>
    <w:rsid w:val="00391CF9"/>
    <w:rsid w:val="00391F50"/>
    <w:rsid w:val="00393BC7"/>
    <w:rsid w:val="003A22BC"/>
    <w:rsid w:val="003A2E3F"/>
    <w:rsid w:val="003A3F79"/>
    <w:rsid w:val="003B0F96"/>
    <w:rsid w:val="003B1EAE"/>
    <w:rsid w:val="003B7175"/>
    <w:rsid w:val="003C0B82"/>
    <w:rsid w:val="003C175E"/>
    <w:rsid w:val="003C253C"/>
    <w:rsid w:val="003C3013"/>
    <w:rsid w:val="003C4DA1"/>
    <w:rsid w:val="003C62A2"/>
    <w:rsid w:val="003C7774"/>
    <w:rsid w:val="003D06AB"/>
    <w:rsid w:val="003D0FEC"/>
    <w:rsid w:val="003D1283"/>
    <w:rsid w:val="003D16CD"/>
    <w:rsid w:val="003D4222"/>
    <w:rsid w:val="003D4EE0"/>
    <w:rsid w:val="003D736B"/>
    <w:rsid w:val="003E0BB5"/>
    <w:rsid w:val="003F2327"/>
    <w:rsid w:val="00400808"/>
    <w:rsid w:val="00401FF1"/>
    <w:rsid w:val="004020EE"/>
    <w:rsid w:val="00403C57"/>
    <w:rsid w:val="00404268"/>
    <w:rsid w:val="004044B3"/>
    <w:rsid w:val="0041389A"/>
    <w:rsid w:val="0041618D"/>
    <w:rsid w:val="004170D4"/>
    <w:rsid w:val="00420E6E"/>
    <w:rsid w:val="00424AE5"/>
    <w:rsid w:val="00427A51"/>
    <w:rsid w:val="004302E7"/>
    <w:rsid w:val="00431119"/>
    <w:rsid w:val="00435530"/>
    <w:rsid w:val="00436227"/>
    <w:rsid w:val="004379C4"/>
    <w:rsid w:val="00440C26"/>
    <w:rsid w:val="00443B59"/>
    <w:rsid w:val="004445BA"/>
    <w:rsid w:val="004454BA"/>
    <w:rsid w:val="00445DDF"/>
    <w:rsid w:val="00452566"/>
    <w:rsid w:val="00452E28"/>
    <w:rsid w:val="00453C16"/>
    <w:rsid w:val="004567F7"/>
    <w:rsid w:val="00456AFE"/>
    <w:rsid w:val="00460545"/>
    <w:rsid w:val="00462B85"/>
    <w:rsid w:val="00463F9E"/>
    <w:rsid w:val="0046483C"/>
    <w:rsid w:val="00470736"/>
    <w:rsid w:val="0047141E"/>
    <w:rsid w:val="0047171A"/>
    <w:rsid w:val="004737F9"/>
    <w:rsid w:val="0047510A"/>
    <w:rsid w:val="00477695"/>
    <w:rsid w:val="00483A4E"/>
    <w:rsid w:val="0048491B"/>
    <w:rsid w:val="00486066"/>
    <w:rsid w:val="0048637E"/>
    <w:rsid w:val="0049306E"/>
    <w:rsid w:val="00496B72"/>
    <w:rsid w:val="00496EFE"/>
    <w:rsid w:val="00497532"/>
    <w:rsid w:val="00497C2D"/>
    <w:rsid w:val="004A1579"/>
    <w:rsid w:val="004A254F"/>
    <w:rsid w:val="004A3AA4"/>
    <w:rsid w:val="004A3E6A"/>
    <w:rsid w:val="004A55FE"/>
    <w:rsid w:val="004A61D6"/>
    <w:rsid w:val="004B3A18"/>
    <w:rsid w:val="004B3C3A"/>
    <w:rsid w:val="004B6F64"/>
    <w:rsid w:val="004B7387"/>
    <w:rsid w:val="004C07B1"/>
    <w:rsid w:val="004C1EF7"/>
    <w:rsid w:val="004C2C08"/>
    <w:rsid w:val="004C35E1"/>
    <w:rsid w:val="004C3AEA"/>
    <w:rsid w:val="004C4649"/>
    <w:rsid w:val="004C4F08"/>
    <w:rsid w:val="004C6F94"/>
    <w:rsid w:val="004C71C0"/>
    <w:rsid w:val="004D2550"/>
    <w:rsid w:val="004D3D42"/>
    <w:rsid w:val="004D672D"/>
    <w:rsid w:val="004D6A08"/>
    <w:rsid w:val="004E04C7"/>
    <w:rsid w:val="004E0799"/>
    <w:rsid w:val="004E1AEF"/>
    <w:rsid w:val="004E218F"/>
    <w:rsid w:val="004E47AA"/>
    <w:rsid w:val="004E53CA"/>
    <w:rsid w:val="004F2096"/>
    <w:rsid w:val="004F357A"/>
    <w:rsid w:val="004F3838"/>
    <w:rsid w:val="004F49E9"/>
    <w:rsid w:val="004F5F2C"/>
    <w:rsid w:val="004F657C"/>
    <w:rsid w:val="00500188"/>
    <w:rsid w:val="00500C5B"/>
    <w:rsid w:val="005014B0"/>
    <w:rsid w:val="00502D6D"/>
    <w:rsid w:val="00503ABF"/>
    <w:rsid w:val="00510862"/>
    <w:rsid w:val="005150D5"/>
    <w:rsid w:val="005152B2"/>
    <w:rsid w:val="00521658"/>
    <w:rsid w:val="00524A78"/>
    <w:rsid w:val="00525322"/>
    <w:rsid w:val="00527686"/>
    <w:rsid w:val="00534461"/>
    <w:rsid w:val="00534EA1"/>
    <w:rsid w:val="0053551F"/>
    <w:rsid w:val="005355F5"/>
    <w:rsid w:val="0054192F"/>
    <w:rsid w:val="005419CB"/>
    <w:rsid w:val="0054211F"/>
    <w:rsid w:val="00543527"/>
    <w:rsid w:val="00545DD3"/>
    <w:rsid w:val="00551843"/>
    <w:rsid w:val="00551DA6"/>
    <w:rsid w:val="00551E08"/>
    <w:rsid w:val="00553455"/>
    <w:rsid w:val="00553F4F"/>
    <w:rsid w:val="00555029"/>
    <w:rsid w:val="0055556D"/>
    <w:rsid w:val="00555A4D"/>
    <w:rsid w:val="005607FA"/>
    <w:rsid w:val="00560F7C"/>
    <w:rsid w:val="005631A8"/>
    <w:rsid w:val="00563200"/>
    <w:rsid w:val="005648A6"/>
    <w:rsid w:val="005653EA"/>
    <w:rsid w:val="0056694F"/>
    <w:rsid w:val="005704E8"/>
    <w:rsid w:val="005709BA"/>
    <w:rsid w:val="0057258B"/>
    <w:rsid w:val="005754E2"/>
    <w:rsid w:val="00583AB8"/>
    <w:rsid w:val="005856DD"/>
    <w:rsid w:val="00585C64"/>
    <w:rsid w:val="0058624B"/>
    <w:rsid w:val="00586632"/>
    <w:rsid w:val="005911D3"/>
    <w:rsid w:val="0059266F"/>
    <w:rsid w:val="00593959"/>
    <w:rsid w:val="005A071E"/>
    <w:rsid w:val="005A08F8"/>
    <w:rsid w:val="005A0DDE"/>
    <w:rsid w:val="005A1212"/>
    <w:rsid w:val="005A2450"/>
    <w:rsid w:val="005A5763"/>
    <w:rsid w:val="005A5EAB"/>
    <w:rsid w:val="005A6DC4"/>
    <w:rsid w:val="005A7BE0"/>
    <w:rsid w:val="005B043B"/>
    <w:rsid w:val="005B2C3F"/>
    <w:rsid w:val="005B31CE"/>
    <w:rsid w:val="005B7325"/>
    <w:rsid w:val="005C2631"/>
    <w:rsid w:val="005C27DD"/>
    <w:rsid w:val="005C4EA2"/>
    <w:rsid w:val="005C54A8"/>
    <w:rsid w:val="005C5E47"/>
    <w:rsid w:val="005D08AD"/>
    <w:rsid w:val="005D08B7"/>
    <w:rsid w:val="005D314A"/>
    <w:rsid w:val="005D3427"/>
    <w:rsid w:val="005D3CFC"/>
    <w:rsid w:val="005D51ED"/>
    <w:rsid w:val="005D5E83"/>
    <w:rsid w:val="005E0D39"/>
    <w:rsid w:val="005E20DB"/>
    <w:rsid w:val="005E211E"/>
    <w:rsid w:val="005E264A"/>
    <w:rsid w:val="005E3A71"/>
    <w:rsid w:val="005E697B"/>
    <w:rsid w:val="005E7B3A"/>
    <w:rsid w:val="005E7C82"/>
    <w:rsid w:val="005F4511"/>
    <w:rsid w:val="005F5D34"/>
    <w:rsid w:val="005F5F18"/>
    <w:rsid w:val="00600BC6"/>
    <w:rsid w:val="00601A11"/>
    <w:rsid w:val="00603050"/>
    <w:rsid w:val="00604FC2"/>
    <w:rsid w:val="00607309"/>
    <w:rsid w:val="0060786D"/>
    <w:rsid w:val="0061015D"/>
    <w:rsid w:val="006107DC"/>
    <w:rsid w:val="00610E6D"/>
    <w:rsid w:val="00612DDC"/>
    <w:rsid w:val="0061406D"/>
    <w:rsid w:val="006147DE"/>
    <w:rsid w:val="006152B4"/>
    <w:rsid w:val="00616315"/>
    <w:rsid w:val="006165FE"/>
    <w:rsid w:val="0062018B"/>
    <w:rsid w:val="00625F99"/>
    <w:rsid w:val="0062778D"/>
    <w:rsid w:val="0063293B"/>
    <w:rsid w:val="006329B4"/>
    <w:rsid w:val="00633407"/>
    <w:rsid w:val="00633D4D"/>
    <w:rsid w:val="0063469B"/>
    <w:rsid w:val="00634D61"/>
    <w:rsid w:val="006353FE"/>
    <w:rsid w:val="0063699C"/>
    <w:rsid w:val="006376DE"/>
    <w:rsid w:val="006530E0"/>
    <w:rsid w:val="00653690"/>
    <w:rsid w:val="006572CD"/>
    <w:rsid w:val="0065787D"/>
    <w:rsid w:val="00661226"/>
    <w:rsid w:val="0066269C"/>
    <w:rsid w:val="00663DC8"/>
    <w:rsid w:val="0066418A"/>
    <w:rsid w:val="00665AE3"/>
    <w:rsid w:val="00667586"/>
    <w:rsid w:val="00670227"/>
    <w:rsid w:val="00671EB5"/>
    <w:rsid w:val="00672362"/>
    <w:rsid w:val="00673019"/>
    <w:rsid w:val="00677609"/>
    <w:rsid w:val="00684249"/>
    <w:rsid w:val="0068484F"/>
    <w:rsid w:val="00685693"/>
    <w:rsid w:val="00687F56"/>
    <w:rsid w:val="00691239"/>
    <w:rsid w:val="00692C02"/>
    <w:rsid w:val="00695518"/>
    <w:rsid w:val="00697281"/>
    <w:rsid w:val="006A17F9"/>
    <w:rsid w:val="006A4AD9"/>
    <w:rsid w:val="006A56D2"/>
    <w:rsid w:val="006B0431"/>
    <w:rsid w:val="006B0916"/>
    <w:rsid w:val="006B10B5"/>
    <w:rsid w:val="006B1643"/>
    <w:rsid w:val="006B1ABD"/>
    <w:rsid w:val="006B2511"/>
    <w:rsid w:val="006B31D2"/>
    <w:rsid w:val="006B3275"/>
    <w:rsid w:val="006B3618"/>
    <w:rsid w:val="006B4D49"/>
    <w:rsid w:val="006B50F9"/>
    <w:rsid w:val="006B7321"/>
    <w:rsid w:val="006B74FD"/>
    <w:rsid w:val="006B76FA"/>
    <w:rsid w:val="006B7F23"/>
    <w:rsid w:val="006C03E3"/>
    <w:rsid w:val="006C2881"/>
    <w:rsid w:val="006C49FE"/>
    <w:rsid w:val="006C5FCB"/>
    <w:rsid w:val="006C6E4F"/>
    <w:rsid w:val="006D15D7"/>
    <w:rsid w:val="006D32BB"/>
    <w:rsid w:val="006D5BF3"/>
    <w:rsid w:val="006E22B1"/>
    <w:rsid w:val="006E2820"/>
    <w:rsid w:val="006E3EBE"/>
    <w:rsid w:val="006E54CF"/>
    <w:rsid w:val="006E561F"/>
    <w:rsid w:val="006E72D8"/>
    <w:rsid w:val="006F22E6"/>
    <w:rsid w:val="006F3808"/>
    <w:rsid w:val="006F43B8"/>
    <w:rsid w:val="006F4A56"/>
    <w:rsid w:val="006F7821"/>
    <w:rsid w:val="00700911"/>
    <w:rsid w:val="007055B4"/>
    <w:rsid w:val="00707DD5"/>
    <w:rsid w:val="0071009F"/>
    <w:rsid w:val="00712810"/>
    <w:rsid w:val="00713D33"/>
    <w:rsid w:val="00714EC8"/>
    <w:rsid w:val="007155B7"/>
    <w:rsid w:val="0071769E"/>
    <w:rsid w:val="00723AF2"/>
    <w:rsid w:val="00723B89"/>
    <w:rsid w:val="00724D83"/>
    <w:rsid w:val="00725A00"/>
    <w:rsid w:val="00726129"/>
    <w:rsid w:val="007267E5"/>
    <w:rsid w:val="00731180"/>
    <w:rsid w:val="00731A8F"/>
    <w:rsid w:val="00732897"/>
    <w:rsid w:val="00733A29"/>
    <w:rsid w:val="0073521D"/>
    <w:rsid w:val="00736330"/>
    <w:rsid w:val="007375E8"/>
    <w:rsid w:val="0074045E"/>
    <w:rsid w:val="0074303E"/>
    <w:rsid w:val="00746042"/>
    <w:rsid w:val="007466A1"/>
    <w:rsid w:val="00751D5C"/>
    <w:rsid w:val="0075280A"/>
    <w:rsid w:val="00755231"/>
    <w:rsid w:val="00756AB0"/>
    <w:rsid w:val="007609E1"/>
    <w:rsid w:val="007612EC"/>
    <w:rsid w:val="007637EC"/>
    <w:rsid w:val="00765FF6"/>
    <w:rsid w:val="00766369"/>
    <w:rsid w:val="00766851"/>
    <w:rsid w:val="00767E55"/>
    <w:rsid w:val="0077004E"/>
    <w:rsid w:val="00771156"/>
    <w:rsid w:val="00771CA1"/>
    <w:rsid w:val="00774C2C"/>
    <w:rsid w:val="00775C30"/>
    <w:rsid w:val="007776D9"/>
    <w:rsid w:val="00777C6B"/>
    <w:rsid w:val="00780E16"/>
    <w:rsid w:val="0078173E"/>
    <w:rsid w:val="007900E3"/>
    <w:rsid w:val="00792834"/>
    <w:rsid w:val="00793278"/>
    <w:rsid w:val="007953A6"/>
    <w:rsid w:val="0079622A"/>
    <w:rsid w:val="007963DA"/>
    <w:rsid w:val="00796544"/>
    <w:rsid w:val="0079655F"/>
    <w:rsid w:val="00796CB9"/>
    <w:rsid w:val="007A1304"/>
    <w:rsid w:val="007A1A4B"/>
    <w:rsid w:val="007A4B25"/>
    <w:rsid w:val="007B0C25"/>
    <w:rsid w:val="007B2259"/>
    <w:rsid w:val="007B6DDC"/>
    <w:rsid w:val="007C1AD4"/>
    <w:rsid w:val="007C2D40"/>
    <w:rsid w:val="007C3F61"/>
    <w:rsid w:val="007C4052"/>
    <w:rsid w:val="007C4105"/>
    <w:rsid w:val="007C43C9"/>
    <w:rsid w:val="007C43FE"/>
    <w:rsid w:val="007C46E3"/>
    <w:rsid w:val="007C51AE"/>
    <w:rsid w:val="007C7F4F"/>
    <w:rsid w:val="007D0C19"/>
    <w:rsid w:val="007D31ED"/>
    <w:rsid w:val="007D53F3"/>
    <w:rsid w:val="007D64CE"/>
    <w:rsid w:val="007D7C81"/>
    <w:rsid w:val="007E245C"/>
    <w:rsid w:val="007E4CF9"/>
    <w:rsid w:val="007E5783"/>
    <w:rsid w:val="007E6942"/>
    <w:rsid w:val="007E7638"/>
    <w:rsid w:val="007F05BF"/>
    <w:rsid w:val="007F0CEB"/>
    <w:rsid w:val="007F1339"/>
    <w:rsid w:val="007F5F92"/>
    <w:rsid w:val="007F6EFF"/>
    <w:rsid w:val="0080735F"/>
    <w:rsid w:val="00812235"/>
    <w:rsid w:val="00817633"/>
    <w:rsid w:val="00817FA7"/>
    <w:rsid w:val="00817FF0"/>
    <w:rsid w:val="008218E1"/>
    <w:rsid w:val="00821DDA"/>
    <w:rsid w:val="00822566"/>
    <w:rsid w:val="0082293F"/>
    <w:rsid w:val="00824A90"/>
    <w:rsid w:val="00827DCD"/>
    <w:rsid w:val="00831DD7"/>
    <w:rsid w:val="00834D5E"/>
    <w:rsid w:val="00834F75"/>
    <w:rsid w:val="008372FE"/>
    <w:rsid w:val="008379D2"/>
    <w:rsid w:val="008401B3"/>
    <w:rsid w:val="00840280"/>
    <w:rsid w:val="00840FEF"/>
    <w:rsid w:val="0084111F"/>
    <w:rsid w:val="00841F93"/>
    <w:rsid w:val="00842F14"/>
    <w:rsid w:val="008445B8"/>
    <w:rsid w:val="008446AF"/>
    <w:rsid w:val="00844F8F"/>
    <w:rsid w:val="0085323A"/>
    <w:rsid w:val="00853CFE"/>
    <w:rsid w:val="00855057"/>
    <w:rsid w:val="00855BB7"/>
    <w:rsid w:val="00855E9E"/>
    <w:rsid w:val="00856291"/>
    <w:rsid w:val="00856AAB"/>
    <w:rsid w:val="00857FAB"/>
    <w:rsid w:val="00861857"/>
    <w:rsid w:val="008635C6"/>
    <w:rsid w:val="00864B45"/>
    <w:rsid w:val="00865A50"/>
    <w:rsid w:val="00867469"/>
    <w:rsid w:val="008707A2"/>
    <w:rsid w:val="008718B1"/>
    <w:rsid w:val="0087411F"/>
    <w:rsid w:val="00876BD0"/>
    <w:rsid w:val="00877202"/>
    <w:rsid w:val="00881610"/>
    <w:rsid w:val="008821D4"/>
    <w:rsid w:val="00882A13"/>
    <w:rsid w:val="00882EA0"/>
    <w:rsid w:val="0088375D"/>
    <w:rsid w:val="008837F4"/>
    <w:rsid w:val="00884C2C"/>
    <w:rsid w:val="008870D7"/>
    <w:rsid w:val="0089270B"/>
    <w:rsid w:val="00893197"/>
    <w:rsid w:val="0089427E"/>
    <w:rsid w:val="00896FAE"/>
    <w:rsid w:val="008A0435"/>
    <w:rsid w:val="008A0441"/>
    <w:rsid w:val="008A2190"/>
    <w:rsid w:val="008A2333"/>
    <w:rsid w:val="008A45AA"/>
    <w:rsid w:val="008A702C"/>
    <w:rsid w:val="008A7BE4"/>
    <w:rsid w:val="008A7CBE"/>
    <w:rsid w:val="008B20A7"/>
    <w:rsid w:val="008B348C"/>
    <w:rsid w:val="008B6F89"/>
    <w:rsid w:val="008B741A"/>
    <w:rsid w:val="008C08C2"/>
    <w:rsid w:val="008C408A"/>
    <w:rsid w:val="008C4B04"/>
    <w:rsid w:val="008C4E30"/>
    <w:rsid w:val="008C584A"/>
    <w:rsid w:val="008C5C0D"/>
    <w:rsid w:val="008C690E"/>
    <w:rsid w:val="008D0A82"/>
    <w:rsid w:val="008D2517"/>
    <w:rsid w:val="008D367C"/>
    <w:rsid w:val="008D5309"/>
    <w:rsid w:val="008D63FC"/>
    <w:rsid w:val="008D79AA"/>
    <w:rsid w:val="008D7E6D"/>
    <w:rsid w:val="008D7F57"/>
    <w:rsid w:val="008E1A6E"/>
    <w:rsid w:val="008E267D"/>
    <w:rsid w:val="008E4B1E"/>
    <w:rsid w:val="008E7DD7"/>
    <w:rsid w:val="009007BA"/>
    <w:rsid w:val="0090257F"/>
    <w:rsid w:val="009050E2"/>
    <w:rsid w:val="00906634"/>
    <w:rsid w:val="009067C3"/>
    <w:rsid w:val="009129B0"/>
    <w:rsid w:val="009134FB"/>
    <w:rsid w:val="00914D56"/>
    <w:rsid w:val="00914E8A"/>
    <w:rsid w:val="00915ABA"/>
    <w:rsid w:val="00924A70"/>
    <w:rsid w:val="00927B88"/>
    <w:rsid w:val="00933277"/>
    <w:rsid w:val="0093373A"/>
    <w:rsid w:val="009344D9"/>
    <w:rsid w:val="00935E4A"/>
    <w:rsid w:val="0094014A"/>
    <w:rsid w:val="009410DB"/>
    <w:rsid w:val="00946049"/>
    <w:rsid w:val="00947394"/>
    <w:rsid w:val="0094795B"/>
    <w:rsid w:val="009479C6"/>
    <w:rsid w:val="00954D0A"/>
    <w:rsid w:val="00957C88"/>
    <w:rsid w:val="00961ABF"/>
    <w:rsid w:val="00961FD7"/>
    <w:rsid w:val="0096537D"/>
    <w:rsid w:val="009656AA"/>
    <w:rsid w:val="0096674F"/>
    <w:rsid w:val="00967FCD"/>
    <w:rsid w:val="00970797"/>
    <w:rsid w:val="00970F38"/>
    <w:rsid w:val="0097103F"/>
    <w:rsid w:val="00971967"/>
    <w:rsid w:val="00976065"/>
    <w:rsid w:val="00976372"/>
    <w:rsid w:val="009764DD"/>
    <w:rsid w:val="00982BFA"/>
    <w:rsid w:val="00984A05"/>
    <w:rsid w:val="00984EC6"/>
    <w:rsid w:val="0098661B"/>
    <w:rsid w:val="00995E45"/>
    <w:rsid w:val="0099636E"/>
    <w:rsid w:val="00997E0C"/>
    <w:rsid w:val="009A0350"/>
    <w:rsid w:val="009A6236"/>
    <w:rsid w:val="009A63FB"/>
    <w:rsid w:val="009A65DC"/>
    <w:rsid w:val="009A6A69"/>
    <w:rsid w:val="009A6CF6"/>
    <w:rsid w:val="009B0A9F"/>
    <w:rsid w:val="009B0CC7"/>
    <w:rsid w:val="009B2AFB"/>
    <w:rsid w:val="009B43A8"/>
    <w:rsid w:val="009B6DD0"/>
    <w:rsid w:val="009C1843"/>
    <w:rsid w:val="009C4211"/>
    <w:rsid w:val="009C4B64"/>
    <w:rsid w:val="009C4FA8"/>
    <w:rsid w:val="009C58C5"/>
    <w:rsid w:val="009C5AAC"/>
    <w:rsid w:val="009C6633"/>
    <w:rsid w:val="009C6EFE"/>
    <w:rsid w:val="009D0A32"/>
    <w:rsid w:val="009D1803"/>
    <w:rsid w:val="009D3BBE"/>
    <w:rsid w:val="009D6ED1"/>
    <w:rsid w:val="009D6FC2"/>
    <w:rsid w:val="009E0F7A"/>
    <w:rsid w:val="009E42C8"/>
    <w:rsid w:val="009E45C6"/>
    <w:rsid w:val="009E50E9"/>
    <w:rsid w:val="009E57FE"/>
    <w:rsid w:val="009E7805"/>
    <w:rsid w:val="009F01AB"/>
    <w:rsid w:val="009F1691"/>
    <w:rsid w:val="009F2B12"/>
    <w:rsid w:val="009F42B7"/>
    <w:rsid w:val="009F60BF"/>
    <w:rsid w:val="009F618C"/>
    <w:rsid w:val="009F7640"/>
    <w:rsid w:val="00A006B5"/>
    <w:rsid w:val="00A02AA4"/>
    <w:rsid w:val="00A06270"/>
    <w:rsid w:val="00A06543"/>
    <w:rsid w:val="00A10324"/>
    <w:rsid w:val="00A12456"/>
    <w:rsid w:val="00A13079"/>
    <w:rsid w:val="00A138F6"/>
    <w:rsid w:val="00A16576"/>
    <w:rsid w:val="00A17023"/>
    <w:rsid w:val="00A20459"/>
    <w:rsid w:val="00A2252A"/>
    <w:rsid w:val="00A23069"/>
    <w:rsid w:val="00A25121"/>
    <w:rsid w:val="00A26FB2"/>
    <w:rsid w:val="00A27A49"/>
    <w:rsid w:val="00A27AAD"/>
    <w:rsid w:val="00A30E39"/>
    <w:rsid w:val="00A338EE"/>
    <w:rsid w:val="00A3406B"/>
    <w:rsid w:val="00A3439A"/>
    <w:rsid w:val="00A344EB"/>
    <w:rsid w:val="00A35E3E"/>
    <w:rsid w:val="00A4111A"/>
    <w:rsid w:val="00A4132B"/>
    <w:rsid w:val="00A432FA"/>
    <w:rsid w:val="00A436F1"/>
    <w:rsid w:val="00A44F98"/>
    <w:rsid w:val="00A47D34"/>
    <w:rsid w:val="00A53B9E"/>
    <w:rsid w:val="00A548C9"/>
    <w:rsid w:val="00A54ECF"/>
    <w:rsid w:val="00A55527"/>
    <w:rsid w:val="00A57A92"/>
    <w:rsid w:val="00A57AC7"/>
    <w:rsid w:val="00A61619"/>
    <w:rsid w:val="00A61AD9"/>
    <w:rsid w:val="00A64416"/>
    <w:rsid w:val="00A64A35"/>
    <w:rsid w:val="00A65AF7"/>
    <w:rsid w:val="00A661D0"/>
    <w:rsid w:val="00A72D99"/>
    <w:rsid w:val="00A72FBF"/>
    <w:rsid w:val="00A7646E"/>
    <w:rsid w:val="00A776D5"/>
    <w:rsid w:val="00A802AE"/>
    <w:rsid w:val="00A80E34"/>
    <w:rsid w:val="00A83274"/>
    <w:rsid w:val="00A86F78"/>
    <w:rsid w:val="00A92367"/>
    <w:rsid w:val="00A95666"/>
    <w:rsid w:val="00AA1C2E"/>
    <w:rsid w:val="00AA23A9"/>
    <w:rsid w:val="00AA3112"/>
    <w:rsid w:val="00AA3729"/>
    <w:rsid w:val="00AA3AEB"/>
    <w:rsid w:val="00AA40B5"/>
    <w:rsid w:val="00AA4900"/>
    <w:rsid w:val="00AA540B"/>
    <w:rsid w:val="00AA5B7E"/>
    <w:rsid w:val="00AA74AE"/>
    <w:rsid w:val="00AB1976"/>
    <w:rsid w:val="00AB3A58"/>
    <w:rsid w:val="00AB3A82"/>
    <w:rsid w:val="00AB4CB1"/>
    <w:rsid w:val="00AB56C5"/>
    <w:rsid w:val="00AB57F6"/>
    <w:rsid w:val="00AC0FD5"/>
    <w:rsid w:val="00AC13F1"/>
    <w:rsid w:val="00AC318C"/>
    <w:rsid w:val="00AC44FE"/>
    <w:rsid w:val="00AC7A83"/>
    <w:rsid w:val="00AD0AEC"/>
    <w:rsid w:val="00AD41AE"/>
    <w:rsid w:val="00AD7948"/>
    <w:rsid w:val="00AE130E"/>
    <w:rsid w:val="00AE1863"/>
    <w:rsid w:val="00AE1EAF"/>
    <w:rsid w:val="00AE37CC"/>
    <w:rsid w:val="00AE3866"/>
    <w:rsid w:val="00AE6213"/>
    <w:rsid w:val="00AF40B6"/>
    <w:rsid w:val="00AF40F0"/>
    <w:rsid w:val="00AF6CEF"/>
    <w:rsid w:val="00AF6F14"/>
    <w:rsid w:val="00AF7001"/>
    <w:rsid w:val="00B0335F"/>
    <w:rsid w:val="00B065DA"/>
    <w:rsid w:val="00B07906"/>
    <w:rsid w:val="00B1048A"/>
    <w:rsid w:val="00B105D7"/>
    <w:rsid w:val="00B137E5"/>
    <w:rsid w:val="00B20D40"/>
    <w:rsid w:val="00B20E67"/>
    <w:rsid w:val="00B210F1"/>
    <w:rsid w:val="00B22751"/>
    <w:rsid w:val="00B24D9D"/>
    <w:rsid w:val="00B255F8"/>
    <w:rsid w:val="00B27A7F"/>
    <w:rsid w:val="00B302CF"/>
    <w:rsid w:val="00B323B7"/>
    <w:rsid w:val="00B364BB"/>
    <w:rsid w:val="00B373D0"/>
    <w:rsid w:val="00B42684"/>
    <w:rsid w:val="00B46465"/>
    <w:rsid w:val="00B53367"/>
    <w:rsid w:val="00B5554A"/>
    <w:rsid w:val="00B56067"/>
    <w:rsid w:val="00B570E3"/>
    <w:rsid w:val="00B57600"/>
    <w:rsid w:val="00B60065"/>
    <w:rsid w:val="00B61CA5"/>
    <w:rsid w:val="00B61E2A"/>
    <w:rsid w:val="00B647A8"/>
    <w:rsid w:val="00B64D29"/>
    <w:rsid w:val="00B65000"/>
    <w:rsid w:val="00B67236"/>
    <w:rsid w:val="00B67533"/>
    <w:rsid w:val="00B70111"/>
    <w:rsid w:val="00B77D0F"/>
    <w:rsid w:val="00B82021"/>
    <w:rsid w:val="00B82B4A"/>
    <w:rsid w:val="00B84C85"/>
    <w:rsid w:val="00B85213"/>
    <w:rsid w:val="00B8557F"/>
    <w:rsid w:val="00B85BA5"/>
    <w:rsid w:val="00B9467D"/>
    <w:rsid w:val="00B94B8B"/>
    <w:rsid w:val="00B9551F"/>
    <w:rsid w:val="00BA2E05"/>
    <w:rsid w:val="00BA354B"/>
    <w:rsid w:val="00BA39DF"/>
    <w:rsid w:val="00BA5DF4"/>
    <w:rsid w:val="00BB1B8E"/>
    <w:rsid w:val="00BB2299"/>
    <w:rsid w:val="00BB3055"/>
    <w:rsid w:val="00BB3A12"/>
    <w:rsid w:val="00BB516F"/>
    <w:rsid w:val="00BB732B"/>
    <w:rsid w:val="00BC1A3F"/>
    <w:rsid w:val="00BC1F13"/>
    <w:rsid w:val="00BC24AD"/>
    <w:rsid w:val="00BC307C"/>
    <w:rsid w:val="00BC3ACE"/>
    <w:rsid w:val="00BC5542"/>
    <w:rsid w:val="00BC730D"/>
    <w:rsid w:val="00BD1CCF"/>
    <w:rsid w:val="00BD2E37"/>
    <w:rsid w:val="00BD4091"/>
    <w:rsid w:val="00BD45FB"/>
    <w:rsid w:val="00BD5B9B"/>
    <w:rsid w:val="00BD5D40"/>
    <w:rsid w:val="00BD63ED"/>
    <w:rsid w:val="00BE038A"/>
    <w:rsid w:val="00BE3D0A"/>
    <w:rsid w:val="00BE59D1"/>
    <w:rsid w:val="00BE5C2D"/>
    <w:rsid w:val="00BE7D0B"/>
    <w:rsid w:val="00BF0334"/>
    <w:rsid w:val="00BF0AC7"/>
    <w:rsid w:val="00BF0B2F"/>
    <w:rsid w:val="00BF1A73"/>
    <w:rsid w:val="00BF69DD"/>
    <w:rsid w:val="00BF730E"/>
    <w:rsid w:val="00BF7C9F"/>
    <w:rsid w:val="00C02574"/>
    <w:rsid w:val="00C06F44"/>
    <w:rsid w:val="00C070D4"/>
    <w:rsid w:val="00C07461"/>
    <w:rsid w:val="00C07892"/>
    <w:rsid w:val="00C10D0D"/>
    <w:rsid w:val="00C10D5C"/>
    <w:rsid w:val="00C117B1"/>
    <w:rsid w:val="00C11F73"/>
    <w:rsid w:val="00C12D64"/>
    <w:rsid w:val="00C13437"/>
    <w:rsid w:val="00C1438F"/>
    <w:rsid w:val="00C15A87"/>
    <w:rsid w:val="00C15E65"/>
    <w:rsid w:val="00C20964"/>
    <w:rsid w:val="00C225A4"/>
    <w:rsid w:val="00C2294E"/>
    <w:rsid w:val="00C23543"/>
    <w:rsid w:val="00C23AE8"/>
    <w:rsid w:val="00C253ED"/>
    <w:rsid w:val="00C27173"/>
    <w:rsid w:val="00C27C3D"/>
    <w:rsid w:val="00C32113"/>
    <w:rsid w:val="00C332A2"/>
    <w:rsid w:val="00C34571"/>
    <w:rsid w:val="00C36611"/>
    <w:rsid w:val="00C37025"/>
    <w:rsid w:val="00C37055"/>
    <w:rsid w:val="00C377B1"/>
    <w:rsid w:val="00C37D9C"/>
    <w:rsid w:val="00C40B1A"/>
    <w:rsid w:val="00C45AC7"/>
    <w:rsid w:val="00C46489"/>
    <w:rsid w:val="00C4719D"/>
    <w:rsid w:val="00C51FB7"/>
    <w:rsid w:val="00C52874"/>
    <w:rsid w:val="00C53F6B"/>
    <w:rsid w:val="00C575B9"/>
    <w:rsid w:val="00C60731"/>
    <w:rsid w:val="00C62611"/>
    <w:rsid w:val="00C643DB"/>
    <w:rsid w:val="00C65617"/>
    <w:rsid w:val="00C66526"/>
    <w:rsid w:val="00C70C75"/>
    <w:rsid w:val="00C717B5"/>
    <w:rsid w:val="00C72F6A"/>
    <w:rsid w:val="00C73A82"/>
    <w:rsid w:val="00C74DDC"/>
    <w:rsid w:val="00C75BFD"/>
    <w:rsid w:val="00C75C43"/>
    <w:rsid w:val="00C83265"/>
    <w:rsid w:val="00C83424"/>
    <w:rsid w:val="00C858D4"/>
    <w:rsid w:val="00C90EF6"/>
    <w:rsid w:val="00C9196E"/>
    <w:rsid w:val="00C9320A"/>
    <w:rsid w:val="00C93398"/>
    <w:rsid w:val="00C93927"/>
    <w:rsid w:val="00C96769"/>
    <w:rsid w:val="00CA0EAC"/>
    <w:rsid w:val="00CA13DE"/>
    <w:rsid w:val="00CA2407"/>
    <w:rsid w:val="00CA4FD6"/>
    <w:rsid w:val="00CB673D"/>
    <w:rsid w:val="00CC16B6"/>
    <w:rsid w:val="00CC220D"/>
    <w:rsid w:val="00CC3C1C"/>
    <w:rsid w:val="00CC53E1"/>
    <w:rsid w:val="00CC6D5B"/>
    <w:rsid w:val="00CC702E"/>
    <w:rsid w:val="00CD16D6"/>
    <w:rsid w:val="00CD5E24"/>
    <w:rsid w:val="00CE0E57"/>
    <w:rsid w:val="00CE281A"/>
    <w:rsid w:val="00CE4991"/>
    <w:rsid w:val="00CE7277"/>
    <w:rsid w:val="00CE7DE3"/>
    <w:rsid w:val="00CF4E18"/>
    <w:rsid w:val="00CF56B2"/>
    <w:rsid w:val="00CF63FC"/>
    <w:rsid w:val="00CF7F43"/>
    <w:rsid w:val="00D00A44"/>
    <w:rsid w:val="00D010C9"/>
    <w:rsid w:val="00D01D47"/>
    <w:rsid w:val="00D05121"/>
    <w:rsid w:val="00D0745E"/>
    <w:rsid w:val="00D10143"/>
    <w:rsid w:val="00D111BE"/>
    <w:rsid w:val="00D12384"/>
    <w:rsid w:val="00D12623"/>
    <w:rsid w:val="00D13BA0"/>
    <w:rsid w:val="00D1566A"/>
    <w:rsid w:val="00D15BE3"/>
    <w:rsid w:val="00D15C20"/>
    <w:rsid w:val="00D16ACA"/>
    <w:rsid w:val="00D17B07"/>
    <w:rsid w:val="00D207E0"/>
    <w:rsid w:val="00D20A74"/>
    <w:rsid w:val="00D2180C"/>
    <w:rsid w:val="00D218CF"/>
    <w:rsid w:val="00D26527"/>
    <w:rsid w:val="00D26548"/>
    <w:rsid w:val="00D2695D"/>
    <w:rsid w:val="00D2705F"/>
    <w:rsid w:val="00D27F68"/>
    <w:rsid w:val="00D30CCD"/>
    <w:rsid w:val="00D31B24"/>
    <w:rsid w:val="00D373D7"/>
    <w:rsid w:val="00D375E7"/>
    <w:rsid w:val="00D377F0"/>
    <w:rsid w:val="00D37A5D"/>
    <w:rsid w:val="00D4409D"/>
    <w:rsid w:val="00D51888"/>
    <w:rsid w:val="00D520ED"/>
    <w:rsid w:val="00D53B85"/>
    <w:rsid w:val="00D55BF0"/>
    <w:rsid w:val="00D55DF8"/>
    <w:rsid w:val="00D573BC"/>
    <w:rsid w:val="00D57803"/>
    <w:rsid w:val="00D60248"/>
    <w:rsid w:val="00D622D0"/>
    <w:rsid w:val="00D62902"/>
    <w:rsid w:val="00D651A6"/>
    <w:rsid w:val="00D67878"/>
    <w:rsid w:val="00D71779"/>
    <w:rsid w:val="00D80361"/>
    <w:rsid w:val="00D8229A"/>
    <w:rsid w:val="00D83B4D"/>
    <w:rsid w:val="00D83D4B"/>
    <w:rsid w:val="00D8557D"/>
    <w:rsid w:val="00D86560"/>
    <w:rsid w:val="00D86EC0"/>
    <w:rsid w:val="00D879C1"/>
    <w:rsid w:val="00D910D9"/>
    <w:rsid w:val="00D91C5F"/>
    <w:rsid w:val="00D9314A"/>
    <w:rsid w:val="00D93EC3"/>
    <w:rsid w:val="00D971D2"/>
    <w:rsid w:val="00D97829"/>
    <w:rsid w:val="00DA1EEF"/>
    <w:rsid w:val="00DA3B7D"/>
    <w:rsid w:val="00DA6939"/>
    <w:rsid w:val="00DB360A"/>
    <w:rsid w:val="00DB5EC8"/>
    <w:rsid w:val="00DC0043"/>
    <w:rsid w:val="00DC1359"/>
    <w:rsid w:val="00DC1B55"/>
    <w:rsid w:val="00DC416B"/>
    <w:rsid w:val="00DD1265"/>
    <w:rsid w:val="00DD3507"/>
    <w:rsid w:val="00DD6F5D"/>
    <w:rsid w:val="00DD78CA"/>
    <w:rsid w:val="00DE0F7A"/>
    <w:rsid w:val="00DE1050"/>
    <w:rsid w:val="00DE3DB9"/>
    <w:rsid w:val="00DE5044"/>
    <w:rsid w:val="00DE5097"/>
    <w:rsid w:val="00DE58BD"/>
    <w:rsid w:val="00DE6E7D"/>
    <w:rsid w:val="00DF18ED"/>
    <w:rsid w:val="00DF2D53"/>
    <w:rsid w:val="00DF3B4A"/>
    <w:rsid w:val="00DF3D3E"/>
    <w:rsid w:val="00DF4900"/>
    <w:rsid w:val="00DF5FCB"/>
    <w:rsid w:val="00E022DF"/>
    <w:rsid w:val="00E027C7"/>
    <w:rsid w:val="00E027FB"/>
    <w:rsid w:val="00E0309D"/>
    <w:rsid w:val="00E053B6"/>
    <w:rsid w:val="00E05F93"/>
    <w:rsid w:val="00E106DF"/>
    <w:rsid w:val="00E12016"/>
    <w:rsid w:val="00E12FD6"/>
    <w:rsid w:val="00E13C3F"/>
    <w:rsid w:val="00E14110"/>
    <w:rsid w:val="00E149E2"/>
    <w:rsid w:val="00E160A5"/>
    <w:rsid w:val="00E16FBA"/>
    <w:rsid w:val="00E175B3"/>
    <w:rsid w:val="00E17FCD"/>
    <w:rsid w:val="00E2161F"/>
    <w:rsid w:val="00E22551"/>
    <w:rsid w:val="00E22C97"/>
    <w:rsid w:val="00E2579B"/>
    <w:rsid w:val="00E32ECB"/>
    <w:rsid w:val="00E3500B"/>
    <w:rsid w:val="00E3556F"/>
    <w:rsid w:val="00E35725"/>
    <w:rsid w:val="00E4127D"/>
    <w:rsid w:val="00E425F8"/>
    <w:rsid w:val="00E427A6"/>
    <w:rsid w:val="00E4492B"/>
    <w:rsid w:val="00E46F18"/>
    <w:rsid w:val="00E47603"/>
    <w:rsid w:val="00E51E3D"/>
    <w:rsid w:val="00E53830"/>
    <w:rsid w:val="00E56F95"/>
    <w:rsid w:val="00E61478"/>
    <w:rsid w:val="00E658A0"/>
    <w:rsid w:val="00E66971"/>
    <w:rsid w:val="00E66EF9"/>
    <w:rsid w:val="00E67413"/>
    <w:rsid w:val="00E7090D"/>
    <w:rsid w:val="00E71FF3"/>
    <w:rsid w:val="00E77F2D"/>
    <w:rsid w:val="00E825E3"/>
    <w:rsid w:val="00E8344D"/>
    <w:rsid w:val="00E8344F"/>
    <w:rsid w:val="00E87630"/>
    <w:rsid w:val="00E9221F"/>
    <w:rsid w:val="00E92877"/>
    <w:rsid w:val="00E92CD4"/>
    <w:rsid w:val="00E9383F"/>
    <w:rsid w:val="00E95D37"/>
    <w:rsid w:val="00EA0705"/>
    <w:rsid w:val="00EA17C4"/>
    <w:rsid w:val="00EA2A62"/>
    <w:rsid w:val="00EA3AB0"/>
    <w:rsid w:val="00EA6890"/>
    <w:rsid w:val="00EB12A1"/>
    <w:rsid w:val="00EB22C0"/>
    <w:rsid w:val="00EB2A4F"/>
    <w:rsid w:val="00EB6541"/>
    <w:rsid w:val="00EC0B12"/>
    <w:rsid w:val="00EC101E"/>
    <w:rsid w:val="00EC6CF8"/>
    <w:rsid w:val="00ED0956"/>
    <w:rsid w:val="00ED2210"/>
    <w:rsid w:val="00ED24B5"/>
    <w:rsid w:val="00ED35D4"/>
    <w:rsid w:val="00ED7665"/>
    <w:rsid w:val="00EE1B1C"/>
    <w:rsid w:val="00EE1E1F"/>
    <w:rsid w:val="00EE28A6"/>
    <w:rsid w:val="00EE3FC0"/>
    <w:rsid w:val="00EE5ADD"/>
    <w:rsid w:val="00EE65DC"/>
    <w:rsid w:val="00EF057F"/>
    <w:rsid w:val="00EF2591"/>
    <w:rsid w:val="00EF4623"/>
    <w:rsid w:val="00EF6106"/>
    <w:rsid w:val="00EF7610"/>
    <w:rsid w:val="00EF7A20"/>
    <w:rsid w:val="00F00497"/>
    <w:rsid w:val="00F03755"/>
    <w:rsid w:val="00F05EBB"/>
    <w:rsid w:val="00F0691D"/>
    <w:rsid w:val="00F106FF"/>
    <w:rsid w:val="00F11767"/>
    <w:rsid w:val="00F11B8E"/>
    <w:rsid w:val="00F11DA3"/>
    <w:rsid w:val="00F12EEF"/>
    <w:rsid w:val="00F1403E"/>
    <w:rsid w:val="00F15531"/>
    <w:rsid w:val="00F162E6"/>
    <w:rsid w:val="00F16612"/>
    <w:rsid w:val="00F179F9"/>
    <w:rsid w:val="00F2107A"/>
    <w:rsid w:val="00F2285E"/>
    <w:rsid w:val="00F229AA"/>
    <w:rsid w:val="00F22DAE"/>
    <w:rsid w:val="00F26A6E"/>
    <w:rsid w:val="00F300D4"/>
    <w:rsid w:val="00F300F9"/>
    <w:rsid w:val="00F30E3B"/>
    <w:rsid w:val="00F34873"/>
    <w:rsid w:val="00F358DF"/>
    <w:rsid w:val="00F369A7"/>
    <w:rsid w:val="00F36B9A"/>
    <w:rsid w:val="00F4030E"/>
    <w:rsid w:val="00F40C4B"/>
    <w:rsid w:val="00F4112B"/>
    <w:rsid w:val="00F46071"/>
    <w:rsid w:val="00F476DD"/>
    <w:rsid w:val="00F516DE"/>
    <w:rsid w:val="00F51D44"/>
    <w:rsid w:val="00F53A74"/>
    <w:rsid w:val="00F53FCF"/>
    <w:rsid w:val="00F5745A"/>
    <w:rsid w:val="00F604B1"/>
    <w:rsid w:val="00F65572"/>
    <w:rsid w:val="00F6635A"/>
    <w:rsid w:val="00F74244"/>
    <w:rsid w:val="00F771C5"/>
    <w:rsid w:val="00F83655"/>
    <w:rsid w:val="00F84908"/>
    <w:rsid w:val="00F85E33"/>
    <w:rsid w:val="00F87DEC"/>
    <w:rsid w:val="00F91AB8"/>
    <w:rsid w:val="00FA1046"/>
    <w:rsid w:val="00FA15F0"/>
    <w:rsid w:val="00FA1AB9"/>
    <w:rsid w:val="00FA3545"/>
    <w:rsid w:val="00FA447B"/>
    <w:rsid w:val="00FA770B"/>
    <w:rsid w:val="00FA7F3E"/>
    <w:rsid w:val="00FB0C4A"/>
    <w:rsid w:val="00FB1FDD"/>
    <w:rsid w:val="00FB2FF2"/>
    <w:rsid w:val="00FB5654"/>
    <w:rsid w:val="00FB7ABE"/>
    <w:rsid w:val="00FB7D30"/>
    <w:rsid w:val="00FC2AE5"/>
    <w:rsid w:val="00FC5943"/>
    <w:rsid w:val="00FC5EAA"/>
    <w:rsid w:val="00FC6025"/>
    <w:rsid w:val="00FD26BB"/>
    <w:rsid w:val="00FE09EE"/>
    <w:rsid w:val="00FE0BAB"/>
    <w:rsid w:val="00FE0C71"/>
    <w:rsid w:val="00FE12DF"/>
    <w:rsid w:val="00FE45A5"/>
    <w:rsid w:val="00FE4FFD"/>
    <w:rsid w:val="00FE5E00"/>
    <w:rsid w:val="00FE7CCE"/>
    <w:rsid w:val="00FE7F78"/>
    <w:rsid w:val="00FF18D2"/>
    <w:rsid w:val="00FF6B60"/>
    <w:rsid w:val="00FF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37F4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4645F"/>
    <w:pPr>
      <w:keepNext/>
      <w:keepLines/>
      <w:pBdr>
        <w:bottom w:val="single" w:sz="12" w:space="1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  <w:lang w:val="cs-CZ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24645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val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EC0B12"/>
    <w:pPr>
      <w:keepNext/>
      <w:keepLines/>
      <w:numPr>
        <w:ilvl w:val="2"/>
        <w:numId w:val="14"/>
      </w:numPr>
      <w:shd w:val="clear" w:color="auto" w:fill="FFFFFF" w:themeFill="background1"/>
      <w:spacing w:before="40"/>
      <w:ind w:left="1004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53B9E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89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89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89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89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89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E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930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30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0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30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30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0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06E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3B1E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EAE"/>
  </w:style>
  <w:style w:type="character" w:styleId="slostrnky">
    <w:name w:val="page number"/>
    <w:basedOn w:val="Standardnpsmoodstavce"/>
    <w:uiPriority w:val="99"/>
    <w:semiHidden/>
    <w:unhideWhenUsed/>
    <w:rsid w:val="003B1EAE"/>
  </w:style>
  <w:style w:type="paragraph" w:styleId="Revize">
    <w:name w:val="Revision"/>
    <w:hidden/>
    <w:uiPriority w:val="99"/>
    <w:semiHidden/>
    <w:rsid w:val="00B364BB"/>
  </w:style>
  <w:style w:type="table" w:styleId="Mkatabulky">
    <w:name w:val="Table Grid"/>
    <w:basedOn w:val="Normlntabulka"/>
    <w:uiPriority w:val="39"/>
    <w:rsid w:val="006B1ABD"/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3MUZkonParagrafNzev">
    <w:name w:val="W3MU: Zákon Paragraf Název"/>
    <w:basedOn w:val="Normln"/>
    <w:next w:val="Normln"/>
    <w:rsid w:val="006B7F23"/>
    <w:pPr>
      <w:keepNext/>
      <w:spacing w:before="60" w:after="60"/>
      <w:jc w:val="center"/>
      <w:outlineLvl w:val="0"/>
    </w:pPr>
    <w:rPr>
      <w:rFonts w:ascii="Arial" w:eastAsia="Calibri" w:hAnsi="Arial" w:cs="Times New Roman"/>
      <w:b/>
      <w:color w:val="808080"/>
      <w:szCs w:val="20"/>
      <w:lang w:val="cs-CZ" w:eastAsia="cs-CZ"/>
    </w:rPr>
  </w:style>
  <w:style w:type="paragraph" w:customStyle="1" w:styleId="W3MUZkonOdstavecslovan">
    <w:name w:val="W3MU: Zákon Odstavec Číslovaný"/>
    <w:basedOn w:val="Normln"/>
    <w:uiPriority w:val="99"/>
    <w:rsid w:val="006B7F23"/>
    <w:pPr>
      <w:spacing w:after="120"/>
      <w:outlineLvl w:val="1"/>
    </w:pPr>
    <w:rPr>
      <w:rFonts w:ascii="Verdana" w:eastAsia="Calibri" w:hAnsi="Verdana" w:cs="Times New Roman"/>
      <w:sz w:val="20"/>
      <w:lang w:val="cs-CZ" w:eastAsia="cs-CZ"/>
    </w:rPr>
  </w:style>
  <w:style w:type="character" w:styleId="Siln">
    <w:name w:val="Strong"/>
    <w:basedOn w:val="Standardnpsmoodstavce"/>
    <w:uiPriority w:val="22"/>
    <w:qFormat/>
    <w:rsid w:val="006B7F23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1201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01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E1201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10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06FF"/>
  </w:style>
  <w:style w:type="paragraph" w:styleId="Normlnweb">
    <w:name w:val="Normal (Web)"/>
    <w:basedOn w:val="Normln"/>
    <w:uiPriority w:val="99"/>
    <w:rsid w:val="006152B4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cs-CZ" w:eastAsia="cs-CZ"/>
    </w:rPr>
  </w:style>
  <w:style w:type="paragraph" w:customStyle="1" w:styleId="Default">
    <w:name w:val="Default"/>
    <w:rsid w:val="003633B2"/>
    <w:pPr>
      <w:autoSpaceDE w:val="0"/>
      <w:autoSpaceDN w:val="0"/>
      <w:adjustRightInd w:val="0"/>
    </w:pPr>
    <w:rPr>
      <w:rFonts w:ascii="Open Sans" w:hAnsi="Open Sans" w:cs="Open Sans"/>
      <w:color w:val="00000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24645F"/>
    <w:rPr>
      <w:rFonts w:asciiTheme="majorHAnsi" w:eastAsiaTheme="majorEastAsia" w:hAnsiTheme="majorHAnsi" w:cstheme="majorBidi"/>
      <w:b/>
      <w:bCs/>
      <w:sz w:val="28"/>
      <w:szCs w:val="26"/>
      <w:lang w:val="cs-CZ"/>
    </w:rPr>
  </w:style>
  <w:style w:type="paragraph" w:customStyle="1" w:styleId="tekaern">
    <w:name w:val="tečka černá"/>
    <w:basedOn w:val="Normln"/>
    <w:rsid w:val="00C06F44"/>
    <w:pPr>
      <w:numPr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vraznn">
    <w:name w:val="Emphasis"/>
    <w:basedOn w:val="Standardnpsmoodstavce"/>
    <w:uiPriority w:val="20"/>
    <w:qFormat/>
    <w:rsid w:val="0054192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155B7"/>
    <w:rPr>
      <w:color w:val="0563C1" w:themeColor="hyperlink"/>
      <w:u w:val="single"/>
    </w:rPr>
  </w:style>
  <w:style w:type="character" w:customStyle="1" w:styleId="W3MUZvraznntextkurzva">
    <w:name w:val="W3MU: Zvýrazněný text (kurzíva)"/>
    <w:rsid w:val="00391CF9"/>
    <w:rPr>
      <w:rFonts w:ascii="Verdana" w:hAnsi="Verdana"/>
      <w:i/>
      <w:sz w:val="20"/>
    </w:rPr>
  </w:style>
  <w:style w:type="paragraph" w:styleId="Seznamsodrkami">
    <w:name w:val="List Bullet"/>
    <w:basedOn w:val="Normln"/>
    <w:uiPriority w:val="99"/>
    <w:rsid w:val="00AA4900"/>
    <w:pPr>
      <w:numPr>
        <w:numId w:val="6"/>
      </w:numPr>
      <w:spacing w:after="200" w:line="276" w:lineRule="auto"/>
      <w:contextualSpacing/>
    </w:pPr>
    <w:rPr>
      <w:rFonts w:ascii="Calibri" w:eastAsia="Times New Roman" w:hAnsi="Calibri" w:cs="Times New Roman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4645F"/>
    <w:rPr>
      <w:rFonts w:asciiTheme="majorHAnsi" w:eastAsiaTheme="majorEastAsia" w:hAnsiTheme="majorHAnsi" w:cstheme="majorBidi"/>
      <w:b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F476DD"/>
    <w:pPr>
      <w:spacing w:line="259" w:lineRule="auto"/>
      <w:outlineLvl w:val="9"/>
    </w:pPr>
    <w:rPr>
      <w:b w:val="0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476D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476DD"/>
    <w:pPr>
      <w:spacing w:after="100"/>
      <w:ind w:left="240"/>
    </w:pPr>
  </w:style>
  <w:style w:type="character" w:customStyle="1" w:styleId="Nadpis3Char">
    <w:name w:val="Nadpis 3 Char"/>
    <w:basedOn w:val="Standardnpsmoodstavce"/>
    <w:link w:val="Nadpis3"/>
    <w:uiPriority w:val="9"/>
    <w:rsid w:val="00EC0B12"/>
    <w:rPr>
      <w:rFonts w:asciiTheme="majorHAnsi" w:eastAsiaTheme="majorEastAsia" w:hAnsiTheme="majorHAnsi" w:cstheme="majorBidi"/>
      <w:b/>
      <w:color w:val="000000" w:themeColor="text1"/>
      <w:sz w:val="26"/>
      <w:shd w:val="clear" w:color="auto" w:fill="FFFFFF" w:themeFill="background1"/>
    </w:rPr>
  </w:style>
  <w:style w:type="character" w:customStyle="1" w:styleId="Nadpis4Char">
    <w:name w:val="Nadpis 4 Char"/>
    <w:basedOn w:val="Standardnpsmoodstavce"/>
    <w:link w:val="Nadpis4"/>
    <w:uiPriority w:val="9"/>
    <w:rsid w:val="00A53B9E"/>
    <w:rPr>
      <w:rFonts w:asciiTheme="majorHAnsi" w:eastAsiaTheme="majorEastAsia" w:hAnsiTheme="majorHAnsi" w:cstheme="majorBidi"/>
      <w:i/>
      <w:iCs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8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8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W3MUZkonOdstavecslovan"/>
    <w:next w:val="Normln"/>
    <w:link w:val="NzevChar"/>
    <w:uiPriority w:val="10"/>
    <w:qFormat/>
    <w:rsid w:val="0002080B"/>
    <w:pPr>
      <w:jc w:val="both"/>
    </w:pPr>
    <w:rPr>
      <w:rFonts w:asciiTheme="minorHAnsi" w:hAnsiTheme="minorHAnsi" w:cstheme="minorHAnsi"/>
      <w:sz w:val="22"/>
    </w:rPr>
  </w:style>
  <w:style w:type="character" w:customStyle="1" w:styleId="NzevChar">
    <w:name w:val="Název Char"/>
    <w:basedOn w:val="Standardnpsmoodstavce"/>
    <w:link w:val="Nzev"/>
    <w:uiPriority w:val="10"/>
    <w:rsid w:val="0002080B"/>
    <w:rPr>
      <w:rFonts w:eastAsia="Calibri" w:cstheme="minorHAnsi"/>
      <w:sz w:val="22"/>
      <w:szCs w:val="22"/>
      <w:lang w:val="cs-CZ" w:eastAsia="cs-CZ"/>
    </w:rPr>
  </w:style>
  <w:style w:type="paragraph" w:customStyle="1" w:styleId="Styl123">
    <w:name w:val="Styl123"/>
    <w:basedOn w:val="Nzev"/>
    <w:link w:val="Styl123Char"/>
    <w:qFormat/>
    <w:rsid w:val="0002080B"/>
  </w:style>
  <w:style w:type="character" w:customStyle="1" w:styleId="Styl123Char">
    <w:name w:val="Styl123 Char"/>
    <w:basedOn w:val="NzevChar"/>
    <w:link w:val="Styl123"/>
    <w:rsid w:val="0002080B"/>
    <w:rPr>
      <w:rFonts w:eastAsia="Calibri" w:cstheme="minorHAnsi"/>
      <w:sz w:val="22"/>
      <w:szCs w:val="22"/>
      <w:lang w:val="cs-CZ"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2F6C9E"/>
    <w:pPr>
      <w:tabs>
        <w:tab w:val="left" w:pos="1320"/>
        <w:tab w:val="right" w:leader="dot" w:pos="9056"/>
      </w:tabs>
      <w:spacing w:after="100"/>
      <w:ind w:left="480"/>
    </w:pPr>
    <w:rPr>
      <w:noProof/>
      <w:sz w:val="20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5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0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3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1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4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349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750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41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888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5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6963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343">
          <w:marLeft w:val="171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cs.wikipedia.org/wiki/Organizac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cs.wikipedia.org/wiki/Strategi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C39C4-9983-4FFF-BB4C-98A721C5A5F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AAB742B-FF7C-478B-860E-3D102C1E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13679</Words>
  <Characters>80711</Characters>
  <Application>Microsoft Office Word</Application>
  <DocSecurity>0</DocSecurity>
  <Lines>672</Lines>
  <Paragraphs>188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Dvořák</dc:creator>
  <cp:lastModifiedBy>Jirka</cp:lastModifiedBy>
  <cp:revision>2</cp:revision>
  <cp:lastPrinted>2019-05-22T12:57:00Z</cp:lastPrinted>
  <dcterms:created xsi:type="dcterms:W3CDTF">2019-07-14T08:23:00Z</dcterms:created>
  <dcterms:modified xsi:type="dcterms:W3CDTF">2019-07-14T08:23:00Z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9082b3e9-f2fd-45de-a048-6047c46daae1</vt:lpwstr>
  </property>
  <property fmtid="{D5CDD505-2E9C-101B-9397-08002B2CF9AE}" pid="3" name="bjSaver">
    <vt:lpwstr>zgWNaNazAkiKVrHY1X81z/fxHNTNRI0c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